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568960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611505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May 19, 2026</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NLI H</w:t>
      </w:r>
      <w:r>
        <w:rPr>
          <w:rFonts w:ascii="Times New Roman" w:cs="Times New Roman" w:eastAsia="Times New Roman" w:hAnsi="Times New Roman"/>
          <w:sz w:val="22"/>
          <w:szCs w:val="22"/>
          <w:b w:val="1"/>
          <w:bCs w:val="1"/>
          <w:color w:val="auto"/>
        </w:rPr>
        <w:t>oldings</w:t>
      </w:r>
      <w:r>
        <w:rPr>
          <w:rFonts w:ascii="Times New Roman" w:cs="Times New Roman" w:eastAsia="Times New Roman" w:hAnsi="Times New Roman"/>
          <w:sz w:val="32"/>
          <w:szCs w:val="32"/>
          <w:b w:val="1"/>
          <w:bCs w:val="1"/>
          <w:color w:val="auto"/>
        </w:rPr>
        <w:t>, I</w:t>
      </w:r>
      <w:r>
        <w:rPr>
          <w:rFonts w:ascii="Times New Roman" w:cs="Times New Roman" w:eastAsia="Times New Roman" w:hAnsi="Times New Roman"/>
          <w:sz w:val="22"/>
          <w:szCs w:val="22"/>
          <w:b w:val="1"/>
          <w:bCs w:val="1"/>
          <w:color w:val="auto"/>
        </w:rPr>
        <w:t>nc</w:t>
      </w:r>
      <w:r>
        <w:rPr>
          <w:rFonts w:ascii="Times New Roman" w:cs="Times New Roman" w:eastAsia="Times New Roman" w:hAnsi="Times New Roman"/>
          <w:sz w:val="32"/>
          <w:szCs w:val="32"/>
          <w:b w:val="1"/>
          <w:bCs w:val="1"/>
          <w:color w:val="auto"/>
        </w:rPr>
        <w:t>.</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13" w:lineRule="exact"/>
        <w:rPr>
          <w:sz w:val="24"/>
          <w:szCs w:val="24"/>
          <w:color w:val="auto"/>
        </w:rPr>
      </w:pPr>
    </w:p>
    <w:tbl>
      <w:tblPr>
        <w:tblLayout w:type="fixed"/>
        <w:tblInd w:w="1040" w:type="dxa"/>
        <w:tblCellMar>
          <w:top w:w="0" w:type="dxa"/>
          <w:left w:w="0" w:type="dxa"/>
          <w:bottom w:w="0" w:type="dxa"/>
          <w:right w:w="0" w:type="dxa"/>
        </w:tblCellMar>
      </w:tblPr>
      <w:tr>
        <w:trPr>
          <w:trHeight w:val="256"/>
        </w:trPr>
        <w:tc>
          <w:tcPr>
            <w:tcW w:w="2720" w:type="dxa"/>
            <w:vAlign w:val="bottom"/>
          </w:tcPr>
          <w:p>
            <w:pPr>
              <w:jc w:val="center"/>
              <w:ind w:right="643"/>
              <w:spacing w:after="0"/>
              <w:rPr>
                <w:sz w:val="20"/>
                <w:szCs w:val="20"/>
                <w:color w:val="auto"/>
              </w:rPr>
            </w:pPr>
            <w:r>
              <w:rPr>
                <w:rFonts w:ascii="Times New Roman" w:cs="Times New Roman" w:eastAsia="Times New Roman" w:hAnsi="Times New Roman"/>
                <w:sz w:val="22"/>
                <w:szCs w:val="22"/>
                <w:b w:val="1"/>
                <w:bCs w:val="1"/>
                <w:color w:val="auto"/>
                <w:w w:val="96"/>
              </w:rPr>
              <w:t>Delaware</w:t>
            </w:r>
          </w:p>
        </w:tc>
        <w:tc>
          <w:tcPr>
            <w:tcW w:w="2620" w:type="dxa"/>
            <w:vAlign w:val="bottom"/>
          </w:tcPr>
          <w:p>
            <w:pPr>
              <w:jc w:val="center"/>
              <w:ind w:right="104"/>
              <w:spacing w:after="0"/>
              <w:rPr>
                <w:sz w:val="20"/>
                <w:szCs w:val="20"/>
                <w:color w:val="auto"/>
              </w:rPr>
            </w:pPr>
            <w:r>
              <w:rPr>
                <w:rFonts w:ascii="Times New Roman" w:cs="Times New Roman" w:eastAsia="Times New Roman" w:hAnsi="Times New Roman"/>
                <w:sz w:val="22"/>
                <w:szCs w:val="22"/>
                <w:b w:val="1"/>
                <w:bCs w:val="1"/>
                <w:color w:val="auto"/>
                <w:w w:val="97"/>
              </w:rPr>
              <w:t>1-640</w:t>
            </w:r>
          </w:p>
        </w:tc>
        <w:tc>
          <w:tcPr>
            <w:tcW w:w="2160" w:type="dxa"/>
            <w:vAlign w:val="bottom"/>
          </w:tcPr>
          <w:p>
            <w:pPr>
              <w:jc w:val="center"/>
              <w:ind w:left="803"/>
              <w:spacing w:after="0"/>
              <w:rPr>
                <w:sz w:val="20"/>
                <w:szCs w:val="20"/>
                <w:color w:val="auto"/>
              </w:rPr>
            </w:pPr>
            <w:r>
              <w:rPr>
                <w:rFonts w:ascii="Times New Roman" w:cs="Times New Roman" w:eastAsia="Times New Roman" w:hAnsi="Times New Roman"/>
                <w:sz w:val="22"/>
                <w:szCs w:val="22"/>
                <w:b w:val="1"/>
                <w:bCs w:val="1"/>
                <w:color w:val="auto"/>
                <w:w w:val="95"/>
              </w:rPr>
              <w:t>13-5267260</w:t>
            </w:r>
          </w:p>
        </w:tc>
      </w:tr>
      <w:tr>
        <w:trPr>
          <w:trHeight w:val="216"/>
        </w:trPr>
        <w:tc>
          <w:tcPr>
            <w:tcW w:w="2720" w:type="dxa"/>
            <w:vAlign w:val="bottom"/>
          </w:tcPr>
          <w:p>
            <w:pPr>
              <w:jc w:val="center"/>
              <w:ind w:right="623"/>
              <w:spacing w:after="0"/>
              <w:rPr>
                <w:sz w:val="20"/>
                <w:szCs w:val="20"/>
                <w:color w:val="auto"/>
              </w:rPr>
            </w:pPr>
            <w:r>
              <w:rPr>
                <w:rFonts w:ascii="Times New Roman" w:cs="Times New Roman" w:eastAsia="Times New Roman" w:hAnsi="Times New Roman"/>
                <w:sz w:val="18"/>
                <w:szCs w:val="18"/>
                <w:color w:val="auto"/>
                <w:w w:val="95"/>
              </w:rPr>
              <w:t>(State or other jurisdiction of</w:t>
            </w:r>
          </w:p>
        </w:tc>
        <w:tc>
          <w:tcPr>
            <w:tcW w:w="2620" w:type="dxa"/>
            <w:vAlign w:val="bottom"/>
          </w:tcPr>
          <w:p>
            <w:pPr>
              <w:jc w:val="center"/>
              <w:ind w:right="104"/>
              <w:spacing w:after="0"/>
              <w:rPr>
                <w:sz w:val="20"/>
                <w:szCs w:val="20"/>
                <w:color w:val="auto"/>
              </w:rPr>
            </w:pPr>
            <w:r>
              <w:rPr>
                <w:rFonts w:ascii="Times New Roman" w:cs="Times New Roman" w:eastAsia="Times New Roman" w:hAnsi="Times New Roman"/>
                <w:sz w:val="18"/>
                <w:szCs w:val="18"/>
                <w:color w:val="auto"/>
                <w:w w:val="96"/>
              </w:rPr>
              <w:t>(Commission</w:t>
            </w:r>
          </w:p>
        </w:tc>
        <w:tc>
          <w:tcPr>
            <w:tcW w:w="2160" w:type="dxa"/>
            <w:vAlign w:val="bottom"/>
          </w:tcPr>
          <w:p>
            <w:pPr>
              <w:jc w:val="center"/>
              <w:ind w:left="803"/>
              <w:spacing w:after="0"/>
              <w:rPr>
                <w:sz w:val="20"/>
                <w:szCs w:val="20"/>
                <w:color w:val="auto"/>
              </w:rPr>
            </w:pPr>
            <w:r>
              <w:rPr>
                <w:rFonts w:ascii="Times New Roman" w:cs="Times New Roman" w:eastAsia="Times New Roman" w:hAnsi="Times New Roman"/>
                <w:sz w:val="18"/>
                <w:szCs w:val="18"/>
                <w:color w:val="auto"/>
                <w:w w:val="96"/>
              </w:rPr>
              <w:t>(IRS Employer</w:t>
            </w:r>
          </w:p>
        </w:tc>
      </w:tr>
      <w:tr>
        <w:trPr>
          <w:trHeight w:val="234"/>
        </w:trPr>
        <w:tc>
          <w:tcPr>
            <w:tcW w:w="2720" w:type="dxa"/>
            <w:vAlign w:val="bottom"/>
          </w:tcPr>
          <w:p>
            <w:pPr>
              <w:jc w:val="center"/>
              <w:ind w:right="623"/>
              <w:spacing w:after="0"/>
              <w:rPr>
                <w:sz w:val="20"/>
                <w:szCs w:val="20"/>
                <w:color w:val="auto"/>
              </w:rPr>
            </w:pPr>
            <w:r>
              <w:rPr>
                <w:rFonts w:ascii="Times New Roman" w:cs="Times New Roman" w:eastAsia="Times New Roman" w:hAnsi="Times New Roman"/>
                <w:sz w:val="18"/>
                <w:szCs w:val="18"/>
                <w:color w:val="auto"/>
                <w:w w:val="97"/>
              </w:rPr>
              <w:t>incorporation)</w:t>
            </w:r>
          </w:p>
        </w:tc>
        <w:tc>
          <w:tcPr>
            <w:tcW w:w="2620" w:type="dxa"/>
            <w:vAlign w:val="bottom"/>
          </w:tcPr>
          <w:p>
            <w:pPr>
              <w:jc w:val="center"/>
              <w:ind w:right="104"/>
              <w:spacing w:after="0"/>
              <w:rPr>
                <w:sz w:val="20"/>
                <w:szCs w:val="20"/>
                <w:color w:val="auto"/>
              </w:rPr>
            </w:pPr>
            <w:r>
              <w:rPr>
                <w:rFonts w:ascii="Times New Roman" w:cs="Times New Roman" w:eastAsia="Times New Roman" w:hAnsi="Times New Roman"/>
                <w:sz w:val="18"/>
                <w:szCs w:val="18"/>
                <w:color w:val="auto"/>
                <w:w w:val="96"/>
              </w:rPr>
              <w:t>File Number)</w:t>
            </w:r>
          </w:p>
        </w:tc>
        <w:tc>
          <w:tcPr>
            <w:tcW w:w="2160" w:type="dxa"/>
            <w:vAlign w:val="bottom"/>
          </w:tcPr>
          <w:p>
            <w:pPr>
              <w:jc w:val="center"/>
              <w:ind w:left="783"/>
              <w:spacing w:after="0"/>
              <w:rPr>
                <w:sz w:val="20"/>
                <w:szCs w:val="20"/>
                <w:color w:val="auto"/>
              </w:rPr>
            </w:pPr>
            <w:r>
              <w:rPr>
                <w:rFonts w:ascii="Times New Roman" w:cs="Times New Roman" w:eastAsia="Times New Roman" w:hAnsi="Times New Roman"/>
                <w:sz w:val="18"/>
                <w:szCs w:val="18"/>
                <w:color w:val="auto"/>
                <w:w w:val="95"/>
              </w:rPr>
              <w:t>Identification No.)</w:t>
            </w:r>
          </w:p>
        </w:tc>
      </w:tr>
      <w:tr>
        <w:trPr>
          <w:trHeight w:val="670"/>
        </w:trPr>
        <w:tc>
          <w:tcPr>
            <w:tcW w:w="5340" w:type="dxa"/>
            <w:vAlign w:val="bottom"/>
            <w:gridSpan w:val="2"/>
          </w:tcPr>
          <w:p>
            <w:pPr>
              <w:jc w:val="center"/>
              <w:ind w:right="304"/>
              <w:spacing w:after="0"/>
              <w:rPr>
                <w:sz w:val="20"/>
                <w:szCs w:val="20"/>
                <w:color w:val="auto"/>
              </w:rPr>
            </w:pPr>
            <w:r>
              <w:rPr>
                <w:rFonts w:ascii="Times New Roman" w:cs="Times New Roman" w:eastAsia="Times New Roman" w:hAnsi="Times New Roman"/>
                <w:sz w:val="22"/>
                <w:szCs w:val="22"/>
                <w:b w:val="1"/>
                <w:bCs w:val="1"/>
                <w:color w:val="auto"/>
                <w:w w:val="94"/>
              </w:rPr>
              <w:t>5430 LBJ Freeway, Suite 1700, Dallas, Texas</w:t>
            </w:r>
          </w:p>
        </w:tc>
        <w:tc>
          <w:tcPr>
            <w:tcW w:w="2160" w:type="dxa"/>
            <w:vAlign w:val="bottom"/>
          </w:tcPr>
          <w:p>
            <w:pPr>
              <w:jc w:val="center"/>
              <w:ind w:left="803"/>
              <w:spacing w:after="0"/>
              <w:rPr>
                <w:sz w:val="20"/>
                <w:szCs w:val="20"/>
                <w:color w:val="auto"/>
              </w:rPr>
            </w:pPr>
            <w:r>
              <w:rPr>
                <w:rFonts w:ascii="Times New Roman" w:cs="Times New Roman" w:eastAsia="Times New Roman" w:hAnsi="Times New Roman"/>
                <w:sz w:val="22"/>
                <w:szCs w:val="22"/>
                <w:b w:val="1"/>
                <w:bCs w:val="1"/>
                <w:color w:val="auto"/>
                <w:w w:val="95"/>
              </w:rPr>
              <w:t>75240-2620</w:t>
            </w:r>
          </w:p>
        </w:tc>
      </w:tr>
      <w:tr>
        <w:trPr>
          <w:trHeight w:val="234"/>
        </w:trPr>
        <w:tc>
          <w:tcPr>
            <w:tcW w:w="5340" w:type="dxa"/>
            <w:vAlign w:val="bottom"/>
            <w:gridSpan w:val="2"/>
          </w:tcPr>
          <w:p>
            <w:pPr>
              <w:jc w:val="center"/>
              <w:ind w:right="304"/>
              <w:spacing w:after="0"/>
              <w:rPr>
                <w:sz w:val="20"/>
                <w:szCs w:val="20"/>
                <w:color w:val="auto"/>
              </w:rPr>
            </w:pPr>
            <w:r>
              <w:rPr>
                <w:rFonts w:ascii="Times New Roman" w:cs="Times New Roman" w:eastAsia="Times New Roman" w:hAnsi="Times New Roman"/>
                <w:sz w:val="18"/>
                <w:szCs w:val="18"/>
                <w:color w:val="auto"/>
                <w:w w:val="95"/>
              </w:rPr>
              <w:t>(Address of principal executive offices)</w:t>
            </w:r>
          </w:p>
        </w:tc>
        <w:tc>
          <w:tcPr>
            <w:tcW w:w="2160" w:type="dxa"/>
            <w:vAlign w:val="bottom"/>
          </w:tcPr>
          <w:p>
            <w:pPr>
              <w:jc w:val="center"/>
              <w:ind w:left="783"/>
              <w:spacing w:after="0"/>
              <w:rPr>
                <w:sz w:val="20"/>
                <w:szCs w:val="20"/>
                <w:color w:val="auto"/>
              </w:rPr>
            </w:pPr>
            <w:r>
              <w:rPr>
                <w:rFonts w:ascii="Times New Roman" w:cs="Times New Roman" w:eastAsia="Times New Roman" w:hAnsi="Times New Roman"/>
                <w:sz w:val="18"/>
                <w:szCs w:val="18"/>
                <w:color w:val="auto"/>
                <w:w w:val="95"/>
              </w:rPr>
              <w:t>(Zip Code)</w:t>
            </w:r>
          </w:p>
        </w:tc>
      </w:tr>
    </w:tbl>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(972) 233-1700</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NL I</w:t>
      </w:r>
      <w:r>
        <w:rPr>
          <w:rFonts w:ascii="Times New Roman" w:cs="Times New Roman" w:eastAsia="Times New Roman" w:hAnsi="Times New Roman"/>
          <w:sz w:val="14"/>
          <w:szCs w:val="14"/>
          <w:b w:val="1"/>
          <w:bCs w:val="1"/>
          <w:color w:val="auto"/>
        </w:rPr>
        <w:t>ndustries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40"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1317625</wp:posOffset>
            </wp:positionH>
            <wp:positionV relativeFrom="paragraph">
              <wp:posOffset>-127635</wp:posOffset>
            </wp:positionV>
            <wp:extent cx="2940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205" w:lineRule="exact"/>
        <w:rPr>
          <w:sz w:val="24"/>
          <w:szCs w:val="24"/>
          <w:color w:val="auto"/>
        </w:rPr>
      </w:pPr>
    </w:p>
    <w:p>
      <w:pPr>
        <w:ind w:right="1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67" w:lineRule="exact"/>
        <w:rPr>
          <w:sz w:val="24"/>
          <w:szCs w:val="24"/>
          <w:color w:val="auto"/>
        </w:rPr>
      </w:pPr>
    </w:p>
    <w:p>
      <w:pPr>
        <w:ind w:left="680" w:hanging="463"/>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80" w:hanging="463"/>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80" w:hanging="463"/>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460" w:firstLine="217"/>
        <w:spacing w:after="0" w:line="489" w:lineRule="auto"/>
        <w:tabs>
          <w:tab w:leader="none" w:pos="6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460" w:type="dxa"/>
            <w:vAlign w:val="bottom"/>
          </w:tcPr>
          <w:p>
            <w:pPr>
              <w:spacing w:after="0"/>
              <w:rPr>
                <w:sz w:val="14"/>
                <w:szCs w:val="14"/>
                <w:color w:val="auto"/>
              </w:rPr>
            </w:pPr>
          </w:p>
        </w:tc>
      </w:tr>
      <w:tr>
        <w:trPr>
          <w:trHeight w:val="195"/>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72"/>
        </w:trPr>
        <w:tc>
          <w:tcPr>
            <w:tcW w:w="3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Common stock</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NL</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9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 w:lineRule="exact"/>
        <w:rPr>
          <w:sz w:val="24"/>
          <w:szCs w:val="24"/>
          <w:color w:val="auto"/>
        </w:rPr>
      </w:pPr>
    </w:p>
    <w:p>
      <w:pPr>
        <w:ind w:left="7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660400</wp:posOffset>
            </wp:positionV>
            <wp:extent cx="62922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171450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128905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1184" w:right="99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NL Industries, Inc., a New Jersey corporation (the “Predecessor Corporation”), and its wholly-owned subsidiary NLI Holdings, Inc., a Delaware corporation (the “Company”), entered into an Agreement and Plan of Merger dated as of May 19, 2026 (the “Plan of Merger”), providing for the merger of the Predecessor Corporation with and into the Company, with the Company continuing as the surviving corporation, for the purpose of changing the Predecessor Corporation’s state of incorporation from New Jersey to Delaware (the “Reincorporation”). As previously disclosed, the Plan of Merger and transactions contemplated thereby were approved by the shareholders of the Predecessor Corporation at the annual meeting of the shareholders of the Predecessor Corporation held on May 14, 2026.</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Reincorporation and pursuant to the Plan of Merger, at the Effective Time (as defined below) the Company succeeded to the assets, continued the business and assumed the rights and obligations of the Predecessor Corporation existing immediately prior to the Effective Time. The Reincorporation was consummated when the certificates of merger filed with the Secretary of State of the State of Delaware on May 19, 2026 and the Division of Revenue and Enterprise Services of the State of New Jersey on May 19, 2026 became effective on May 26, 2026 (the “Effective Time”).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Reincorporation, the Company’s name has changed from NL Industries, Inc., to NLI Holdings, Inc.</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Current Report on Form 8-K is being filed for the purpose of establishing the Company as the successor issuer to the Predecessor Corporation pursuant to Rule 12g-3 under the Securities Exchange Act of 1934, as amended (the “Exchange Act”). Pursuant to Rule 12g-3(a) under the Exchange Act, the shares of common stock of the Company, as successor issuer, are deemed registered under Section 12(b) of the Exchange Act.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Effective Time, pursuant to the Plan of Merger, each outstanding share of common stock, par value $.125 per share, of the Predecessor Corporation (“Predecessor Common Stock”) automatically converted into one share of common stock, par value $.125 per share, of the Company (“Company Common Stock”). Each outstanding certificate representing shares of Predecessor Common Stock automatically represents, without any action of the Predecessor Corporation’s shareholders, the same number of shares of Company Common Stock. The Predecessor Corporation’s shareholders do not need to exchange their stock certificates as a result of the Reincorporation.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Similar to the shares of Predecessor Common Stock prior to the Reincorporation, the shares of Company Common Stock are listed for trading on the New York Stock Exchange under the symbol “NL”.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the Effective Date, the Company entered into new indemnification agreements (the “Indemnity Agreements”) with each of its directors and executive officers in order to reflect the Reincorporation and the governing law of Delaware. The Indemnity Agreements provide for indemnification of the directors and executive officers to the fullest extent permitted by law.</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description of the Reincorporation and the Plan of Merger contained in this Item 1.01 does not purport to be complete and is subject to and qualified in its entirety by reference to the Plan of Merger filed as Exhibit 2.1 to this Current Report on Form 8-K, which is incorporated herein by reference. The description of the Indemnity Agreements does not purport to be complete and is subject to and qualified in its entirety by reference to the Indemnity Agreement, a form of which is filed as Exhibit 10.1 to this Current Report on Form 8-K and is also incorporated herein by reference.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Plan of Merger, as of the Effective Time the Predecessor Corporation was merged with and into the Company, with the Company continuing as the surviving corporation.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change in the state of incorporation and the associated name change, the Reincorporation did not result in any change in the headquarters, business, management or location of the Company’s facilities or in its assets, liabilities or net worth (other than as a result of costs incident to the Reincorporation and Delaware franchise taxes).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included under Items 1.01, 2.03, 3.03 and 5.03 of this Current Report on Form 8-K is incorporated into this Item 2.01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448310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 w:name="page3"/>
    <w:bookmarkEnd w:id="2"/>
    <w:p>
      <w:pPr>
        <w:ind w:left="1300" w:right="56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Reincorporation, as of the Effective Time the Company, by operation of law, assumed and succeeded to the prior liabilities and obligations of the Predecessor Corporation, and such liabilities and obligations may be enforced against the Company to the same extent as if the Company had itself incurred or contracted all such liabilities and obligations. For more information concerning these liabilities and obligations, see generally the Predecessor Corporation’s Annual Report on Form 10-K for the year ended December 31, 2025, and Quarterly Report on Form 10-Q for the quarter ended March 31, 2026, which are incorporated herein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under Item 1.01 of this Current Report on Form 8-K is also incorporated into this Item 2.03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1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Reincorporation effected certain changes in the rights of the Company’s stockholders. This is as a result of differences between the Delaware General Corporation Law (“DGCL”) and the New Jersey Business Corporation Act (“NJBCA”), as well as differences between each of the Company’s charter documents and the Predecessor Corporation’s charter documents. As a result of the Reincorporation, as of the Effective Time the rights of the holders of the Company Common Stock are governed by the Company’s certificate of incorporation (the “Delaware Certificate”) and the Company’s bylaws (the “Bylaws”).</w:t>
      </w:r>
    </w:p>
    <w:p>
      <w:pPr>
        <w:spacing w:after="0" w:line="18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A summary of these differences, as well as certain differences between the DGCL and the NJBCA, are included in the definitive proxy statement filed by the Predecessor Corporation with the Securities and Exchange Commission on March 25, 2026, under “Proposal 3: The Reincorporation Proposal,” which is incorporated herein by reference. These differences include, without limitation, a provision in the Delaware Certificate in which the Company elects not to be governed by the anti-takeover provisions of Section 203 of the DGCL. This summary is qualified in its entirety by reference to the NJBCA, the Predecessor Corporation’s certificate of incorporation and bylaws, the DGCL, the Delaware Certificate and the Bylaws.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description of the Company Common Stock contained in this Item 3.03 does not purport to be complete and is subject to and qualified in its entirety by reference to the description thereof contained in the “Description of Capital Stock” attached hereto as Exhibit 4.1 and incorporated herein by reference. In addition, the foregoing description of the Company Common Stock is qualified in its entirety by reference to the Delaware Certificate and the Bylaws, copies of which are attached hereto as Exhibits 3.1 and 3.2, respectively, and incorporated herein by reference.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included under Items 1.01, 2.03 and 5.03 of this Current Report on Form 8-K is also incorporated into this Item 3.03 by reference.</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Effective Time, pursuant to the Plan of Merger, the directors and officers of the Predecessor Corporation immediately prior to the Reincorporation became the directors and officers of the Company and continued their respective directorship or services with the Company on the same terms as their respective directorship or service with the Predecessor Corporation immediately prior to the Effective Time.</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Effective Time, the affairs of the Company ceased to be governed by the NJBCA and the Predecessor Corporation’s certificate of incorporation and bylaws, and instead became governed by the DGCL, the Delaware Certificate and the Bylaws. Copies of the Delaware Certificate and the Bylaws are attached hereto as Exhibits 3.1 and 3.2, respectively, and incorporated herein by reference.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included under Items 1.01 and 3.03 of this Current Report on Form 8-K is also incorporated into this Item 3.03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13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Exhibits</w:t>
            </w:r>
          </w:p>
        </w:tc>
        <w:tc>
          <w:tcPr>
            <w:tcW w:w="6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600" w:type="dxa"/>
            <w:vAlign w:val="bottom"/>
          </w:tcPr>
          <w:p>
            <w:pPr>
              <w:spacing w:after="0"/>
              <w:rPr>
                <w:sz w:val="24"/>
                <w:szCs w:val="24"/>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
        </w:trPr>
        <w:tc>
          <w:tcPr>
            <w:tcW w:w="6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240" w:type="dxa"/>
            <w:vAlign w:val="bottom"/>
          </w:tcPr>
          <w:p>
            <w:pPr>
              <w:spacing w:after="0"/>
              <w:rPr>
                <w:sz w:val="3"/>
                <w:szCs w:val="3"/>
                <w:color w:val="auto"/>
              </w:rPr>
            </w:pPr>
          </w:p>
        </w:tc>
      </w:tr>
      <w:tr>
        <w:trPr>
          <w:trHeight w:val="398"/>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Pr>
          <w:p>
            <w:pPr>
              <w:spacing w:after="0"/>
              <w:rPr>
                <w:sz w:val="24"/>
                <w:szCs w:val="24"/>
                <w:color w:val="auto"/>
              </w:rPr>
            </w:pPr>
          </w:p>
        </w:tc>
        <w:tc>
          <w:tcPr>
            <w:tcW w:w="2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Agreement and Plan of Merger</w:t>
            </w:r>
          </w:p>
        </w:tc>
        <w:tc>
          <w:tcPr>
            <w:tcW w:w="5100" w:type="dxa"/>
            <w:vAlign w:val="bottom"/>
            <w:gridSpan w:val="4"/>
          </w:tcPr>
          <w:p>
            <w:pPr>
              <w:spacing w:after="0"/>
              <w:rPr>
                <w:sz w:val="24"/>
                <w:szCs w:val="24"/>
                <w:color w:val="auto"/>
              </w:rPr>
            </w:pPr>
          </w:p>
        </w:tc>
      </w:tr>
      <w:tr>
        <w:trPr>
          <w:trHeight w:val="426"/>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24"/>
                <w:szCs w:val="24"/>
                <w:color w:val="auto"/>
              </w:rPr>
            </w:pPr>
          </w:p>
        </w:tc>
        <w:tc>
          <w:tcPr>
            <w:tcW w:w="73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Certificate of Incorporation of NLI Holdings, Inc.</w:t>
            </w:r>
          </w:p>
        </w:tc>
      </w:tr>
      <w:tr>
        <w:trPr>
          <w:trHeight w:val="453"/>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Pr>
          <w:p>
            <w:pPr>
              <w:spacing w:after="0"/>
              <w:rPr>
                <w:sz w:val="24"/>
                <w:szCs w:val="24"/>
                <w:color w:val="auto"/>
              </w:rPr>
            </w:pPr>
          </w:p>
        </w:tc>
        <w:tc>
          <w:tcPr>
            <w:tcW w:w="35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Bylaws of NLI Holdings, Inc.</w:t>
            </w:r>
          </w:p>
        </w:tc>
        <w:tc>
          <w:tcPr>
            <w:tcW w:w="3760" w:type="dxa"/>
            <w:vAlign w:val="bottom"/>
            <w:gridSpan w:val="2"/>
          </w:tcPr>
          <w:p>
            <w:pPr>
              <w:spacing w:after="0"/>
              <w:rPr>
                <w:sz w:val="24"/>
                <w:szCs w:val="24"/>
                <w:color w:val="auto"/>
              </w:rPr>
            </w:pPr>
          </w:p>
        </w:tc>
      </w:tr>
      <w:tr>
        <w:trPr>
          <w:trHeight w:val="439"/>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tcPr>
          <w:p>
            <w:pPr>
              <w:spacing w:after="0"/>
              <w:rPr>
                <w:sz w:val="24"/>
                <w:szCs w:val="24"/>
                <w:color w:val="auto"/>
              </w:rPr>
            </w:pPr>
          </w:p>
        </w:tc>
        <w:tc>
          <w:tcPr>
            <w:tcW w:w="21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5200" w:type="dxa"/>
            <w:vAlign w:val="bottom"/>
            <w:gridSpan w:val="5"/>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r>
      <w:tr>
        <w:trPr>
          <w:trHeight w:val="439"/>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24"/>
                <w:szCs w:val="24"/>
                <w:color w:val="auto"/>
              </w:rPr>
            </w:pPr>
          </w:p>
        </w:tc>
        <w:tc>
          <w:tcPr>
            <w:tcW w:w="2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Form of Indemnification Agreement</w:t>
            </w:r>
          </w:p>
        </w:tc>
        <w:tc>
          <w:tcPr>
            <w:tcW w:w="4720" w:type="dxa"/>
            <w:vAlign w:val="bottom"/>
            <w:gridSpan w:val="3"/>
          </w:tcPr>
          <w:p>
            <w:pPr>
              <w:spacing w:after="0"/>
              <w:rPr>
                <w:sz w:val="24"/>
                <w:szCs w:val="24"/>
                <w:color w:val="auto"/>
              </w:rPr>
            </w:pPr>
          </w:p>
        </w:tc>
      </w:tr>
      <w:tr>
        <w:trPr>
          <w:trHeight w:val="480"/>
        </w:trPr>
        <w:tc>
          <w:tcPr>
            <w:tcW w:w="600" w:type="dxa"/>
            <w:vAlign w:val="bottom"/>
          </w:tcPr>
          <w:p>
            <w:pPr>
              <w:spacing w:after="0"/>
              <w:rPr>
                <w:sz w:val="24"/>
                <w:szCs w:val="24"/>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7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97"/>
        </w:trPr>
        <w:tc>
          <w:tcPr>
            <w:tcW w:w="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 w:name="page5"/>
    <w:bookmarkEnd w:id="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2820" w:type="dxa"/>
            <w:vAlign w:val="bottom"/>
          </w:tcPr>
          <w:p>
            <w:pPr>
              <w:spacing w:after="0"/>
              <w:rPr>
                <w:sz w:val="19"/>
                <w:szCs w:val="19"/>
                <w:color w:val="auto"/>
              </w:rPr>
            </w:pPr>
          </w:p>
        </w:tc>
        <w:tc>
          <w:tcPr>
            <w:tcW w:w="458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NL INDUSTRIES, INC.</w:t>
            </w:r>
          </w:p>
        </w:tc>
      </w:tr>
      <w:tr>
        <w:trPr>
          <w:trHeight w:val="234"/>
        </w:trPr>
        <w:tc>
          <w:tcPr>
            <w:tcW w:w="2820" w:type="dxa"/>
            <w:vAlign w:val="bottom"/>
          </w:tcPr>
          <w:p>
            <w:pPr>
              <w:spacing w:after="0"/>
              <w:rPr>
                <w:sz w:val="20"/>
                <w:szCs w:val="20"/>
                <w:color w:val="auto"/>
              </w:rPr>
            </w:pPr>
          </w:p>
        </w:tc>
        <w:tc>
          <w:tcPr>
            <w:tcW w:w="45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(Registrant)</w:t>
            </w:r>
          </w:p>
        </w:tc>
      </w:tr>
      <w:tr>
        <w:trPr>
          <w:trHeight w:val="8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45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 /s/Amy A. Samford</w:t>
            </w:r>
          </w:p>
        </w:tc>
      </w:tr>
      <w:tr>
        <w:trPr>
          <w:trHeight w:val="20"/>
        </w:trPr>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Amy A. Samford</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889000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00"/>
          </w:cols>
          <w:pgMar w:left="980" w:top="333" w:right="1319" w:bottom="1440" w:gutter="0" w:footer="0" w:header="0"/>
        </w:sectPr>
      </w:pPr>
    </w:p>
    <w:bookmarkStart w:id="5" w:name="page6"/>
    <w:bookmarkEnd w:id="5"/>
    <w:p>
      <w:pPr>
        <w:jc w:val="right"/>
        <w:ind w:right="59"/>
        <w:spacing w:after="0"/>
        <w:rPr>
          <w:sz w:val="20"/>
          <w:szCs w:val="20"/>
          <w:color w:val="auto"/>
        </w:rPr>
      </w:pPr>
      <w:r>
        <w:rPr>
          <w:rFonts w:ascii="Times New Roman" w:cs="Times New Roman" w:eastAsia="Times New Roman" w:hAnsi="Times New Roman"/>
          <w:sz w:val="21"/>
          <w:szCs w:val="21"/>
          <w:color w:val="auto"/>
        </w:rPr>
        <w:t>Exhibit 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w:t>
      </w:r>
      <w:r>
        <w:rPr>
          <w:rFonts w:ascii="Times New Roman" w:cs="Times New Roman" w:eastAsia="Times New Roman" w:hAnsi="Times New Roman"/>
          <w:sz w:val="14"/>
          <w:szCs w:val="14"/>
          <w:b w:val="1"/>
          <w:bCs w:val="1"/>
          <w:u w:val="single" w:color="auto"/>
          <w:color w:val="auto"/>
        </w:rPr>
        <w:t>greement and</w:t>
      </w:r>
      <w:r>
        <w:rPr>
          <w:rFonts w:ascii="Times New Roman" w:cs="Times New Roman" w:eastAsia="Times New Roman" w:hAnsi="Times New Roman"/>
          <w:sz w:val="21"/>
          <w:szCs w:val="21"/>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lan of</w:t>
      </w:r>
      <w:r>
        <w:rPr>
          <w:rFonts w:ascii="Times New Roman" w:cs="Times New Roman" w:eastAsia="Times New Roman" w:hAnsi="Times New Roman"/>
          <w:sz w:val="21"/>
          <w:szCs w:val="21"/>
          <w:b w:val="1"/>
          <w:bCs w:val="1"/>
          <w:u w:val="single" w:color="auto"/>
          <w:color w:val="auto"/>
        </w:rPr>
        <w:t xml:space="preserve"> M</w:t>
      </w:r>
      <w:r>
        <w:rPr>
          <w:rFonts w:ascii="Times New Roman" w:cs="Times New Roman" w:eastAsia="Times New Roman" w:hAnsi="Times New Roman"/>
          <w:sz w:val="14"/>
          <w:szCs w:val="14"/>
          <w:b w:val="1"/>
          <w:bCs w:val="1"/>
          <w:u w:val="single" w:color="auto"/>
          <w:color w:val="auto"/>
        </w:rPr>
        <w:t>erger</w:t>
      </w:r>
    </w:p>
    <w:p>
      <w:pPr>
        <w:spacing w:after="0" w:line="218"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21"/>
          <w:szCs w:val="21"/>
          <w:color w:val="auto"/>
        </w:rPr>
        <w:t>This AGREEMENT AND PLAN OF MERGER, dated as of May 19, 2026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and entered into by and between NL Industries, Inc., a New Jersey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NLI Holdings, Inc., a Delaware corporation and a wholly owned subsidiary of the Company (“</w:t>
      </w:r>
      <w:r>
        <w:rPr>
          <w:rFonts w:ascii="Times New Roman" w:cs="Times New Roman" w:eastAsia="Times New Roman" w:hAnsi="Times New Roman"/>
          <w:sz w:val="21"/>
          <w:szCs w:val="21"/>
          <w:b w:val="1"/>
          <w:bCs w:val="1"/>
          <w:color w:val="auto"/>
        </w:rPr>
        <w:t>Delaware Sub</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left="60" w:right="59" w:firstLine="648"/>
        <w:spacing w:after="0" w:line="260" w:lineRule="auto"/>
        <w:rPr>
          <w:sz w:val="20"/>
          <w:szCs w:val="20"/>
          <w:color w:val="auto"/>
        </w:rPr>
      </w:pPr>
      <w:r>
        <w:rPr>
          <w:rFonts w:ascii="Times New Roman" w:cs="Times New Roman" w:eastAsia="Times New Roman" w:hAnsi="Times New Roman"/>
          <w:sz w:val="21"/>
          <w:szCs w:val="21"/>
          <w:color w:val="auto"/>
        </w:rPr>
        <w:t>In consideration of the premises and the mutual agreements and covenants herein contained and in accordance with the applicable provisions of the Delaware General Corporation Law (the “</w:t>
      </w:r>
      <w:r>
        <w:rPr>
          <w:rFonts w:ascii="Times New Roman" w:cs="Times New Roman" w:eastAsia="Times New Roman" w:hAnsi="Times New Roman"/>
          <w:sz w:val="21"/>
          <w:szCs w:val="21"/>
          <w:b w:val="1"/>
          <w:bCs w:val="1"/>
          <w:color w:val="auto"/>
        </w:rPr>
        <w:t>DGCL</w:t>
      </w:r>
      <w:r>
        <w:rPr>
          <w:rFonts w:ascii="Times New Roman" w:cs="Times New Roman" w:eastAsia="Times New Roman" w:hAnsi="Times New Roman"/>
          <w:sz w:val="21"/>
          <w:szCs w:val="21"/>
          <w:color w:val="auto"/>
        </w:rPr>
        <w:t>”) and the New Jersey Business Corporation Act (the “</w:t>
      </w:r>
      <w:r>
        <w:rPr>
          <w:rFonts w:ascii="Times New Roman" w:cs="Times New Roman" w:eastAsia="Times New Roman" w:hAnsi="Times New Roman"/>
          <w:sz w:val="21"/>
          <w:szCs w:val="21"/>
          <w:b w:val="1"/>
          <w:bCs w:val="1"/>
          <w:color w:val="auto"/>
        </w:rPr>
        <w:t>NJBCA</w:t>
      </w:r>
      <w:r>
        <w:rPr>
          <w:rFonts w:ascii="Times New Roman" w:cs="Times New Roman" w:eastAsia="Times New Roman" w:hAnsi="Times New Roman"/>
          <w:sz w:val="21"/>
          <w:szCs w:val="21"/>
          <w:color w:val="auto"/>
        </w:rPr>
        <w:t>”), the parties hereto have agreed and covenanted, and do hereby agree and covenant, as follows: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1.</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TERMS OF MERGER</w:t>
      </w:r>
    </w:p>
    <w:p>
      <w:pPr>
        <w:spacing w:after="0" w:line="112" w:lineRule="exact"/>
        <w:rPr>
          <w:sz w:val="20"/>
          <w:szCs w:val="20"/>
          <w:color w:val="auto"/>
        </w:rPr>
      </w:pPr>
    </w:p>
    <w:p>
      <w:pPr>
        <w:jc w:val="both"/>
        <w:ind w:left="60" w:right="59"/>
        <w:spacing w:after="0" w:line="248"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Merger</w:t>
      </w:r>
      <w:r>
        <w:rPr>
          <w:rFonts w:ascii="Times New Roman" w:cs="Times New Roman" w:eastAsia="Times New Roman" w:hAnsi="Times New Roman"/>
          <w:sz w:val="21"/>
          <w:szCs w:val="21"/>
          <w:color w:val="auto"/>
        </w:rPr>
        <w:t>. Subject to the terms and conditions set forth in this Agreement, at the Effective Time (as defined below), the Company shall be merged with and into Delaware Sub in accordance with applicable law, including Section 252 of the DGCL and Section 14A:10-7 of the NJBCA (the “</w:t>
      </w:r>
      <w:r>
        <w:rPr>
          <w:rFonts w:ascii="Times New Roman" w:cs="Times New Roman" w:eastAsia="Times New Roman" w:hAnsi="Times New Roman"/>
          <w:sz w:val="21"/>
          <w:szCs w:val="21"/>
          <w:b w:val="1"/>
          <w:bCs w:val="1"/>
          <w:color w:val="auto"/>
        </w:rPr>
        <w:t>Reincorporation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Merger</w:t>
      </w:r>
      <w:r>
        <w:rPr>
          <w:rFonts w:ascii="Times New Roman" w:cs="Times New Roman" w:eastAsia="Times New Roman" w:hAnsi="Times New Roman"/>
          <w:sz w:val="21"/>
          <w:szCs w:val="21"/>
          <w:color w:val="auto"/>
        </w:rPr>
        <w:t>”). Delaware Sub shall be the surviving entity resulting from the Reincorporation Merger and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continue to exist and to be governed by the laws of the State of Delaware under the corporate name “NLI Holdings, Inc.” (the “</w:t>
      </w:r>
      <w:r>
        <w:rPr>
          <w:rFonts w:ascii="Times New Roman" w:cs="Times New Roman" w:eastAsia="Times New Roman" w:hAnsi="Times New Roman"/>
          <w:sz w:val="21"/>
          <w:szCs w:val="21"/>
          <w:b w:val="1"/>
          <w:bCs w:val="1"/>
          <w:color w:val="auto"/>
        </w:rPr>
        <w:t>Surviving Corporation</w:t>
      </w:r>
      <w:r>
        <w:rPr>
          <w:rFonts w:ascii="Times New Roman" w:cs="Times New Roman" w:eastAsia="Times New Roman" w:hAnsi="Times New Roman"/>
          <w:sz w:val="21"/>
          <w:szCs w:val="21"/>
          <w:color w:val="auto"/>
        </w:rPr>
        <w:t>”), as set forth in the New Jersey Certificate of Merger and the Delaware Certificate of Merger (each as defined below). At the Effective Time:</w:t>
      </w:r>
    </w:p>
    <w:p>
      <w:pPr>
        <w:spacing w:after="0" w:line="76" w:lineRule="exact"/>
        <w:rPr>
          <w:sz w:val="20"/>
          <w:szCs w:val="20"/>
          <w:color w:val="auto"/>
        </w:rPr>
      </w:pPr>
    </w:p>
    <w:p>
      <w:pPr>
        <w:ind w:left="980" w:hanging="282"/>
        <w:spacing w:after="0"/>
        <w:tabs>
          <w:tab w:leader="none" w:pos="98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separate corporate existence of the Company shall cease;</w:t>
      </w:r>
    </w:p>
    <w:p>
      <w:pPr>
        <w:spacing w:after="0" w:line="123" w:lineRule="exact"/>
        <w:rPr>
          <w:rFonts w:ascii="Times New Roman" w:cs="Times New Roman" w:eastAsia="Times New Roman" w:hAnsi="Times New Roman"/>
          <w:sz w:val="21"/>
          <w:szCs w:val="21"/>
          <w:color w:val="auto"/>
        </w:rPr>
      </w:pPr>
    </w:p>
    <w:p>
      <w:pPr>
        <w:jc w:val="both"/>
        <w:ind w:left="700" w:right="59" w:hanging="2"/>
        <w:spacing w:after="0" w:line="251" w:lineRule="auto"/>
        <w:tabs>
          <w:tab w:leader="none" w:pos="1017"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rights, title and interests to all real estate and other property owned by the Company and Delaware Sub shall be allocated to and vested, subject to any existing liens or other encumbrances on the property, in the Surviving Corporation without reversion or impairment and without any further act or deed or any transfer or assignment having occurred;</w:t>
      </w:r>
    </w:p>
    <w:p>
      <w:pPr>
        <w:spacing w:after="0" w:line="83" w:lineRule="exact"/>
        <w:rPr>
          <w:rFonts w:ascii="Times New Roman" w:cs="Times New Roman" w:eastAsia="Times New Roman" w:hAnsi="Times New Roman"/>
          <w:sz w:val="21"/>
          <w:szCs w:val="21"/>
          <w:color w:val="auto"/>
        </w:rPr>
      </w:pPr>
    </w:p>
    <w:p>
      <w:pPr>
        <w:jc w:val="both"/>
        <w:ind w:left="700" w:right="59" w:hanging="2"/>
        <w:spacing w:after="0" w:line="248" w:lineRule="auto"/>
        <w:tabs>
          <w:tab w:leader="none" w:pos="991"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liabilities and obligations of Delaware Sub and the Company (including, without limitation, all liabilities and obligations of the Company with respect to rights of indemnification and advancement of expenses under the NJBCA and the certificate of incorporation and bylaws of the Company held by persons entitled to such rights, whether or not any action, suit or proceeding had been brought against such persons at or prior to the Effective Time) shall be liabilities and obligations of the Surviving Corporation, and the Surviving Corporation shall be the primary obligor for such liabilities and obligations; and</w:t>
      </w:r>
    </w:p>
    <w:p>
      <w:pPr>
        <w:spacing w:after="0" w:line="75" w:lineRule="exact"/>
        <w:rPr>
          <w:rFonts w:ascii="Times New Roman" w:cs="Times New Roman" w:eastAsia="Times New Roman" w:hAnsi="Times New Roman"/>
          <w:sz w:val="21"/>
          <w:szCs w:val="21"/>
          <w:color w:val="auto"/>
        </w:rPr>
      </w:pPr>
    </w:p>
    <w:p>
      <w:pPr>
        <w:ind w:left="700" w:right="59" w:hanging="2"/>
        <w:spacing w:after="0" w:line="270" w:lineRule="auto"/>
        <w:tabs>
          <w:tab w:leader="none" w:pos="1027"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Surviving Corporation shall be substituted in any proceeding pending by or against the Company or Delaware Sub.</w:t>
      </w:r>
    </w:p>
    <w:p>
      <w:pPr>
        <w:spacing w:after="0" w:line="64" w:lineRule="exact"/>
        <w:rPr>
          <w:sz w:val="20"/>
          <w:szCs w:val="20"/>
          <w:color w:val="auto"/>
        </w:rPr>
      </w:pPr>
    </w:p>
    <w:p>
      <w:pPr>
        <w:jc w:val="both"/>
        <w:ind w:left="60" w:right="59"/>
        <w:spacing w:after="0" w:line="248"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Effective Time</w:t>
      </w:r>
      <w:r>
        <w:rPr>
          <w:rFonts w:ascii="Times New Roman" w:cs="Times New Roman" w:eastAsia="Times New Roman" w:hAnsi="Times New Roman"/>
          <w:sz w:val="21"/>
          <w:szCs w:val="21"/>
          <w:color w:val="auto"/>
        </w:rPr>
        <w:t>. On or before the date of the closing of the Merger, the parties shall cause (a) a certificate of merger (the “</w:t>
      </w:r>
      <w:r>
        <w:rPr>
          <w:rFonts w:ascii="Times New Roman" w:cs="Times New Roman" w:eastAsia="Times New Roman" w:hAnsi="Times New Roman"/>
          <w:sz w:val="21"/>
          <w:szCs w:val="21"/>
          <w:b w:val="1"/>
          <w:bCs w:val="1"/>
          <w:color w:val="auto"/>
        </w:rPr>
        <w:t>New Jersey Certificate of Merger</w:t>
      </w:r>
      <w:r>
        <w:rPr>
          <w:rFonts w:ascii="Times New Roman" w:cs="Times New Roman" w:eastAsia="Times New Roman" w:hAnsi="Times New Roman"/>
          <w:sz w:val="21"/>
          <w:szCs w:val="21"/>
          <w:color w:val="auto"/>
        </w:rPr>
        <w:t>”) to be executed and filed with the Secretary of State of the State of New Jersey in accordance with the NJBCA and (b) a certificate of merger (the “</w:t>
      </w:r>
      <w:r>
        <w:rPr>
          <w:rFonts w:ascii="Times New Roman" w:cs="Times New Roman" w:eastAsia="Times New Roman" w:hAnsi="Times New Roman"/>
          <w:sz w:val="21"/>
          <w:szCs w:val="21"/>
          <w:b w:val="1"/>
          <w:bCs w:val="1"/>
          <w:color w:val="auto"/>
        </w:rPr>
        <w:t>Delaware Certificate of Merger</w:t>
      </w:r>
      <w:r>
        <w:rPr>
          <w:rFonts w:ascii="Times New Roman" w:cs="Times New Roman" w:eastAsia="Times New Roman" w:hAnsi="Times New Roman"/>
          <w:sz w:val="21"/>
          <w:szCs w:val="21"/>
          <w:color w:val="auto"/>
        </w:rPr>
        <w:t>”) to be executed and filed with the Secretary of State of the State of Delaware in accordance with the DGCL. The “</w:t>
      </w:r>
      <w:r>
        <w:rPr>
          <w:rFonts w:ascii="Times New Roman" w:cs="Times New Roman" w:eastAsia="Times New Roman" w:hAnsi="Times New Roman"/>
          <w:sz w:val="21"/>
          <w:szCs w:val="21"/>
          <w:b w:val="1"/>
          <w:bCs w:val="1"/>
          <w:color w:val="auto"/>
        </w:rPr>
        <w:t>Effective Time</w:t>
      </w:r>
      <w:r>
        <w:rPr>
          <w:rFonts w:ascii="Times New Roman" w:cs="Times New Roman" w:eastAsia="Times New Roman" w:hAnsi="Times New Roman"/>
          <w:sz w:val="21"/>
          <w:szCs w:val="21"/>
          <w:color w:val="auto"/>
        </w:rPr>
        <w:t>” means the date and time on which the Reincorporation Merger becomes effective, as specified in the New Jersey Certificate of Merger and the Delaware Certificate of Merger.</w:t>
      </w:r>
    </w:p>
    <w:p>
      <w:pPr>
        <w:spacing w:after="0" w:line="7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Certificate of Incorporation</w:t>
      </w:r>
      <w:r>
        <w:rPr>
          <w:rFonts w:ascii="Times New Roman" w:cs="Times New Roman" w:eastAsia="Times New Roman" w:hAnsi="Times New Roman"/>
          <w:sz w:val="21"/>
          <w:szCs w:val="21"/>
          <w:color w:val="auto"/>
        </w:rPr>
        <w:t>. The Certificate of Incorporation of Delaware Sub as in effect at the Effective Time shall be the Certificate of Incorporation of the Surviving Corporation until further amended in accordance with its terms and applicable law.</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6" w:name="page7"/>
    <w:bookmarkEnd w:id="6"/>
    <w:p>
      <w:pPr>
        <w:jc w:val="both"/>
        <w:ind w:left="60" w:right="59"/>
        <w:spacing w:after="0" w:line="270"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Bylaws</w:t>
      </w:r>
      <w:r>
        <w:rPr>
          <w:rFonts w:ascii="Times New Roman" w:cs="Times New Roman" w:eastAsia="Times New Roman" w:hAnsi="Times New Roman"/>
          <w:sz w:val="21"/>
          <w:szCs w:val="21"/>
          <w:color w:val="auto"/>
        </w:rPr>
        <w:t>. The Bylaws of Delaware Sub as in effect at the Effective Time shall be the Bylaws of the Surviving Corporation until further amended in accordance with their terms and applicable law.</w:t>
      </w:r>
    </w:p>
    <w:p>
      <w:pPr>
        <w:spacing w:after="0" w:line="5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The persons who are directors of the Company immediately prior to the Effective Time shall, after the Effective Time, be the directors of the Surviving Corporation, without change, until their respective successors are duly elected and qualified, or their earlier death, resignation or removal in accordance with the Certificate of Incorporation and Bylaws of the Surviving Corporation and applicable law.</w:t>
      </w:r>
    </w:p>
    <w:p>
      <w:pPr>
        <w:spacing w:after="0" w:line="8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u w:val="single" w:color="auto"/>
          <w:color w:val="auto"/>
        </w:rPr>
        <w:t>Officers</w:t>
      </w:r>
      <w:r>
        <w:rPr>
          <w:rFonts w:ascii="Times New Roman" w:cs="Times New Roman" w:eastAsia="Times New Roman" w:hAnsi="Times New Roman"/>
          <w:sz w:val="21"/>
          <w:szCs w:val="21"/>
          <w:color w:val="auto"/>
        </w:rPr>
        <w:t>. The persons who are officers of the Company immediately prior to the Effective Time shall, after the Effective Time, be the officers of the Surviving Corporation, without change, until their respective successors are duly elected or appointed and qualified or until their earlier death, resignation or removal in accordance with the Certificate of Incorporation and Bylaws of the Surviving Corporation and applicable law.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2.</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CONDITIONS TO REINCORPORATION MERGER</w:t>
      </w:r>
    </w:p>
    <w:p>
      <w:pPr>
        <w:spacing w:after="0" w:line="112"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Shareholder Approval; Minority Vote Condition</w:t>
      </w:r>
      <w:r>
        <w:rPr>
          <w:rFonts w:ascii="Times New Roman" w:cs="Times New Roman" w:eastAsia="Times New Roman" w:hAnsi="Times New Roman"/>
          <w:sz w:val="21"/>
          <w:szCs w:val="21"/>
          <w:color w:val="auto"/>
        </w:rPr>
        <w:t>. In addition to any shareholder approval required by applicable law and the certificate of incorporation of the Company, the consummation of the Reincorporation Merger is expressly conditioned upon the approval of this Agreement by the affirmative vote of two-thirds of the voting stock of the Company not owned by Valhi, Inc. (the “</w:t>
      </w:r>
      <w:r>
        <w:rPr>
          <w:rFonts w:ascii="Times New Roman" w:cs="Times New Roman" w:eastAsia="Times New Roman" w:hAnsi="Times New Roman"/>
          <w:sz w:val="21"/>
          <w:szCs w:val="21"/>
          <w:b w:val="1"/>
          <w:bCs w:val="1"/>
          <w:color w:val="auto"/>
        </w:rPr>
        <w:t>Minority Vote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Condition</w:t>
      </w:r>
      <w:r>
        <w:rPr>
          <w:rFonts w:ascii="Times New Roman" w:cs="Times New Roman" w:eastAsia="Times New Roman" w:hAnsi="Times New Roman"/>
          <w:sz w:val="21"/>
          <w:szCs w:val="21"/>
          <w:color w:val="auto"/>
        </w:rPr>
        <w:t>”). In the event that this Agreement shall not be approved by the requisite vote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shareholders of the Company (including satisfaction of the Minority Vote Condition), this Agreement shall thereupon be terminated without further action of the parties hereto.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3.</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EFFECT OF MERGER ON CAPITAL STOCK</w:t>
      </w:r>
    </w:p>
    <w:p>
      <w:pPr>
        <w:spacing w:after="0" w:line="11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Effect of Reincorporation Merger on Capital Stock</w:t>
      </w:r>
      <w:r>
        <w:rPr>
          <w:rFonts w:ascii="Times New Roman" w:cs="Times New Roman" w:eastAsia="Times New Roman" w:hAnsi="Times New Roman"/>
          <w:sz w:val="21"/>
          <w:szCs w:val="21"/>
          <w:color w:val="auto"/>
        </w:rPr>
        <w:t>. At the Effective Time, as a result of the Reincorporation Merger and without any action on the part of the Company or its shareholders, or the Surviving Corporation:</w:t>
      </w:r>
    </w:p>
    <w:p>
      <w:pPr>
        <w:spacing w:after="0" w:line="60" w:lineRule="exact"/>
        <w:rPr>
          <w:sz w:val="20"/>
          <w:szCs w:val="20"/>
          <w:color w:val="auto"/>
        </w:rPr>
      </w:pPr>
    </w:p>
    <w:p>
      <w:pPr>
        <w:jc w:val="both"/>
        <w:ind w:left="700" w:right="59" w:hanging="2"/>
        <w:spacing w:after="0" w:line="252" w:lineRule="auto"/>
        <w:tabs>
          <w:tab w:leader="none" w:pos="98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issued and outstanding share of common stock, par value $.125 per share, of the Company (the “</w:t>
      </w:r>
      <w:r>
        <w:rPr>
          <w:rFonts w:ascii="Times New Roman" w:cs="Times New Roman" w:eastAsia="Times New Roman" w:hAnsi="Times New Roman"/>
          <w:sz w:val="21"/>
          <w:szCs w:val="21"/>
          <w:b w:val="1"/>
          <w:bCs w:val="1"/>
          <w:color w:val="auto"/>
        </w:rPr>
        <w:t>Company Common Shares</w:t>
      </w:r>
      <w:r>
        <w:rPr>
          <w:rFonts w:ascii="Times New Roman" w:cs="Times New Roman" w:eastAsia="Times New Roman" w:hAnsi="Times New Roman"/>
          <w:sz w:val="21"/>
          <w:szCs w:val="21"/>
          <w:color w:val="auto"/>
        </w:rPr>
        <w:t>”) shall, by virtue of the Reincorporation Merger and without any action on the part of the holder thereof, be converted into one fully paid and non-assessable share of common stock, par value $.125 per share, of the Surviving Corporation (the “</w:t>
      </w:r>
      <w:r>
        <w:rPr>
          <w:rFonts w:ascii="Times New Roman" w:cs="Times New Roman" w:eastAsia="Times New Roman" w:hAnsi="Times New Roman"/>
          <w:sz w:val="21"/>
          <w:szCs w:val="21"/>
          <w:b w:val="1"/>
          <w:bCs w:val="1"/>
          <w:color w:val="auto"/>
        </w:rPr>
        <w:t>Surviving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Corporation Common Shares</w:t>
      </w:r>
      <w:r>
        <w:rPr>
          <w:rFonts w:ascii="Times New Roman" w:cs="Times New Roman" w:eastAsia="Times New Roman" w:hAnsi="Times New Roman"/>
          <w:sz w:val="21"/>
          <w:szCs w:val="21"/>
          <w:color w:val="auto"/>
        </w:rPr>
        <w:t>”);</w:t>
      </w:r>
    </w:p>
    <w:p>
      <w:pPr>
        <w:spacing w:after="0" w:line="68" w:lineRule="exact"/>
        <w:rPr>
          <w:rFonts w:ascii="Times New Roman" w:cs="Times New Roman" w:eastAsia="Times New Roman" w:hAnsi="Times New Roman"/>
          <w:sz w:val="21"/>
          <w:szCs w:val="21"/>
          <w:color w:val="auto"/>
        </w:rPr>
      </w:pPr>
    </w:p>
    <w:p>
      <w:pPr>
        <w:jc w:val="both"/>
        <w:ind w:left="700" w:right="79" w:hanging="2"/>
        <w:spacing w:after="0" w:line="255" w:lineRule="auto"/>
        <w:tabs>
          <w:tab w:leader="none" w:pos="103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Company Common Share held in treasury of the Company immediately prior to the Effective Time shall, by virtue of the Reincorporation Merger and without any action on the part of the Company, be converted into one fully paid and non-assessable Surviving Corporation Common Share;</w:t>
      </w:r>
    </w:p>
    <w:p>
      <w:pPr>
        <w:spacing w:after="0" w:line="67" w:lineRule="exact"/>
        <w:rPr>
          <w:rFonts w:ascii="Times New Roman" w:cs="Times New Roman" w:eastAsia="Times New Roman" w:hAnsi="Times New Roman"/>
          <w:sz w:val="21"/>
          <w:szCs w:val="21"/>
          <w:color w:val="auto"/>
        </w:rPr>
      </w:pPr>
    </w:p>
    <w:p>
      <w:pPr>
        <w:jc w:val="both"/>
        <w:ind w:left="700" w:right="59" w:hanging="2"/>
        <w:spacing w:after="0" w:line="252" w:lineRule="auto"/>
        <w:tabs>
          <w:tab w:leader="none" w:pos="100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share of capital stock of Delaware Sub issued and outstanding immediately prior to the Effective Time shall, by virtue of the Reincorporation Merger and without any action on the part of the Surviving Corporation, be cancelled and retired and shall cease to exist, and shall not be converted into shares or other securities of the Surviving Corporation or the right to receive cash or any other property or rights;</w:t>
      </w:r>
    </w:p>
    <w:p>
      <w:pPr>
        <w:spacing w:after="0" w:line="68" w:lineRule="exact"/>
        <w:rPr>
          <w:rFonts w:ascii="Times New Roman" w:cs="Times New Roman" w:eastAsia="Times New Roman" w:hAnsi="Times New Roman"/>
          <w:sz w:val="21"/>
          <w:szCs w:val="21"/>
          <w:color w:val="auto"/>
        </w:rPr>
      </w:pPr>
    </w:p>
    <w:p>
      <w:pPr>
        <w:jc w:val="both"/>
        <w:ind w:left="700" w:right="79" w:hanging="2"/>
        <w:spacing w:after="0" w:line="252" w:lineRule="auto"/>
        <w:tabs>
          <w:tab w:leader="none" w:pos="100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and after the Effective Time, each stock certificate which immediately prior to the Effective Time represented outstanding Company Common Shares (a “</w:t>
      </w:r>
      <w:r>
        <w:rPr>
          <w:rFonts w:ascii="Times New Roman" w:cs="Times New Roman" w:eastAsia="Times New Roman" w:hAnsi="Times New Roman"/>
          <w:sz w:val="21"/>
          <w:szCs w:val="21"/>
          <w:b w:val="1"/>
          <w:bCs w:val="1"/>
          <w:color w:val="auto"/>
        </w:rPr>
        <w:t>New Jersey Certificate</w:t>
      </w:r>
      <w:r>
        <w:rPr>
          <w:rFonts w:ascii="Times New Roman" w:cs="Times New Roman" w:eastAsia="Times New Roman" w:hAnsi="Times New Roman"/>
          <w:sz w:val="21"/>
          <w:szCs w:val="21"/>
          <w:color w:val="auto"/>
        </w:rPr>
        <w:t>”) shall be deemed and treated for all purposes to evidence ownership of, and to represent, the number of Surviving Corporation Common Shares into which the Company Common Shares represented by such New Jersey Certificate immediately prior to the Effective Time were converted pursuant to</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7" w:name="page8"/>
    <w:bookmarkEnd w:id="7"/>
    <w:p>
      <w:pPr>
        <w:jc w:val="both"/>
        <w:ind w:left="700" w:right="59"/>
        <w:spacing w:after="0" w:line="262" w:lineRule="auto"/>
        <w:rPr>
          <w:sz w:val="20"/>
          <w:szCs w:val="20"/>
          <w:color w:val="auto"/>
        </w:rPr>
      </w:pPr>
      <w:r>
        <w:rPr>
          <w:rFonts w:ascii="Times New Roman" w:cs="Times New Roman" w:eastAsia="Times New Roman" w:hAnsi="Times New Roman"/>
          <w:sz w:val="20"/>
          <w:szCs w:val="20"/>
          <w:color w:val="auto"/>
        </w:rPr>
        <w:t>this Agreement. The registered holder of any New Jersey Certificate outstanding immediately prior to the Effective Time, as such holder appears in the books and records of the Company or of the transfer agent in respect of the Company Common Shares immediately prior to the Effective Time, shall, until such New Jersey Certificate is surrendered for transfer or exchange, have and be entitled to exercise any voting and other rights with respect to, and to receive any dividends or other distributions on, the Surviving Corporation Common Shares into which the Company Common Shares represented by any such New Jersey Certificate were converted pursuant to this Agreement;</w:t>
      </w:r>
    </w:p>
    <w:p>
      <w:pPr>
        <w:spacing w:after="0" w:line="79" w:lineRule="exact"/>
        <w:rPr>
          <w:sz w:val="20"/>
          <w:szCs w:val="20"/>
          <w:color w:val="auto"/>
        </w:rPr>
      </w:pPr>
    </w:p>
    <w:p>
      <w:pPr>
        <w:jc w:val="both"/>
        <w:ind w:left="700" w:right="59" w:hanging="2"/>
        <w:spacing w:after="0" w:line="246" w:lineRule="auto"/>
        <w:tabs>
          <w:tab w:leader="none" w:pos="98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holder of a New Jersey Certificate shall, upon the surrender of such New Jersey Certificate to the Surviving Corporation, or the transfer agent in respect of the Surviving Corporation Common Shares, for cancellation after the Effective Time, be entitled to receive from the Surviving Corporation, or the transfer agent in respect of the Surviving Corporation Common Shares, a certificate (a “Delaware Certificate”) representing the number of Surviving Corporation Common Shares into which the Company Common Shares represented by such New Jersey Certificate were converted pursuant to this Agreement. If any such Delaware Certificate is to be issued in a name other than that in which the New Jersey Certificate surrendered for exchange is registered, such exchange shall be conditioned upon (i) the New Jersey Certificate so surrendered being properly endorsed or otherwise in proper form for transfer and (ii) the person requesting such exchange either paying any transfer or other taxes required by reason of the issuance of the Delaware Certificate in a name other than that of the registered holder of the New Jersey Certificate surrendered, or establishing to the satisfaction of the Surviving Corporation, or the transfer agent in respect of the Surviving Corporation Common Shares, that such tax has been paid or is not applicable; and</w:t>
      </w:r>
    </w:p>
    <w:p>
      <w:pPr>
        <w:spacing w:after="0" w:line="80" w:lineRule="exact"/>
        <w:rPr>
          <w:rFonts w:ascii="Times New Roman" w:cs="Times New Roman" w:eastAsia="Times New Roman" w:hAnsi="Times New Roman"/>
          <w:sz w:val="21"/>
          <w:szCs w:val="21"/>
          <w:color w:val="auto"/>
        </w:rPr>
      </w:pPr>
    </w:p>
    <w:p>
      <w:pPr>
        <w:jc w:val="both"/>
        <w:ind w:left="700" w:right="59" w:hanging="2"/>
        <w:spacing w:after="0" w:line="252" w:lineRule="auto"/>
        <w:tabs>
          <w:tab w:leader="none" w:pos="96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no New Jersey Certificate has been issued in the name of a holder of Company Common Shares (for example, in the case of book-entry or other uncertificated shares), a “book entry” (i.e., a computerized or manual entry) shall be made in the shareholder records of the Surviving Corporation to evidence the issuance to such holder of an equal number of Surviving Corporation Common Shares.</w:t>
      </w:r>
    </w:p>
    <w:p>
      <w:pPr>
        <w:spacing w:after="0" w:line="69"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0"/>
          <w:szCs w:val="20"/>
          <w:u w:val="single" w:color="auto"/>
          <w:color w:val="auto"/>
        </w:rPr>
        <w:t>Equity Plans and Employee Benefit Plans</w:t>
      </w:r>
      <w:r>
        <w:rPr>
          <w:rFonts w:ascii="Times New Roman" w:cs="Times New Roman" w:eastAsia="Times New Roman" w:hAnsi="Times New Roman"/>
          <w:sz w:val="20"/>
          <w:szCs w:val="20"/>
          <w:color w:val="auto"/>
        </w:rPr>
        <w:t>.</w:t>
      </w:r>
    </w:p>
    <w:p>
      <w:pPr>
        <w:spacing w:after="0" w:line="123" w:lineRule="exact"/>
        <w:rPr>
          <w:sz w:val="20"/>
          <w:szCs w:val="20"/>
          <w:color w:val="auto"/>
        </w:rPr>
      </w:pPr>
    </w:p>
    <w:p>
      <w:pPr>
        <w:jc w:val="both"/>
        <w:ind w:left="700" w:right="59" w:hanging="2"/>
        <w:spacing w:after="0" w:line="247" w:lineRule="auto"/>
        <w:tabs>
          <w:tab w:leader="none" w:pos="101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Effective Time, the Surviving Corporation hereby assumes each of the following plans, arrangements and other obligations of the Company: (i) the NL Industries, Inc. 2023 Non-Employee Director Stock Plan; (ii) the NL Industries, Inc. Comprehensive Welfare Plan; (iii) the NL Industries, Inc. Retirement Plan for Outside Directors; (iv) the Supplemental Retirement Program for Eligible Flight Personnel of NL Industries, Inc.; (v) the NL Industries, Inc. Supplementary Retirement Plan for Key Employees; (vi) any liability and other obligations with respect to the Retirement Programs of NL Industries, Inc. (which plan was terminated effective June 30, 2025) and (vii) each and every other equity compensation plan, stock plan, savings plan or employee benefit plan and arrangement of the Company that is in effect immediately prior to the Effective Time (collectively, the “</w:t>
      </w:r>
      <w:r>
        <w:rPr>
          <w:rFonts w:ascii="Times New Roman" w:cs="Times New Roman" w:eastAsia="Times New Roman" w:hAnsi="Times New Roman"/>
          <w:sz w:val="21"/>
          <w:szCs w:val="21"/>
          <w:b w:val="1"/>
          <w:bCs w:val="1"/>
          <w:color w:val="auto"/>
        </w:rPr>
        <w:t>Benefit Plans and Other Obligations</w:t>
      </w:r>
      <w:r>
        <w:rPr>
          <w:rFonts w:ascii="Times New Roman" w:cs="Times New Roman" w:eastAsia="Times New Roman" w:hAnsi="Times New Roman"/>
          <w:sz w:val="21"/>
          <w:szCs w:val="21"/>
          <w:color w:val="auto"/>
        </w:rPr>
        <w:t>”).</w:t>
      </w:r>
    </w:p>
    <w:p>
      <w:pPr>
        <w:spacing w:after="0" w:line="79" w:lineRule="exact"/>
        <w:rPr>
          <w:rFonts w:ascii="Times New Roman" w:cs="Times New Roman" w:eastAsia="Times New Roman" w:hAnsi="Times New Roman"/>
          <w:sz w:val="21"/>
          <w:szCs w:val="21"/>
          <w:color w:val="auto"/>
        </w:rPr>
      </w:pPr>
    </w:p>
    <w:p>
      <w:pPr>
        <w:jc w:val="both"/>
        <w:ind w:left="700" w:right="59" w:hanging="2"/>
        <w:spacing w:after="0" w:line="248" w:lineRule="auto"/>
        <w:tabs>
          <w:tab w:leader="none" w:pos="993"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outstanding option or other equity award under the Benefit Plans and Other Obligations (if any) shall, by virtue of the Reincorporation Merger and without any action on the part of the holder of such option or award, be converted into and become an option or award with respect to the same number of Surviving Corporation Common Shares, at the same exercise or base price per share (if applicable) and upon the same terms and subject to the same conditions, including any vesting conditions, as set forth in the applicable plan and any related award agreement as in effect immediately prior to the Effective Time.</w:t>
      </w:r>
    </w:p>
    <w:p>
      <w:pPr>
        <w:spacing w:after="0" w:line="89" w:lineRule="exact"/>
        <w:rPr>
          <w:rFonts w:ascii="Times New Roman" w:cs="Times New Roman" w:eastAsia="Times New Roman" w:hAnsi="Times New Roman"/>
          <w:sz w:val="21"/>
          <w:szCs w:val="21"/>
          <w:color w:val="auto"/>
        </w:rPr>
      </w:pPr>
    </w:p>
    <w:p>
      <w:pPr>
        <w:jc w:val="both"/>
        <w:ind w:left="700" w:right="59" w:hanging="2"/>
        <w:spacing w:after="0" w:line="251" w:lineRule="auto"/>
        <w:tabs>
          <w:tab w:leader="none" w:pos="99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Surviving Corporation shall assume each of the Company’s other employee benefit plans, arrangements and obligations upon the same terms and subject to the same conditions as set forth in such employee benefit plans, arrangements and obligations as in effect immediately prior to the Effective Time.</w:t>
      </w:r>
    </w:p>
    <w:p>
      <w:pPr>
        <w:sectPr>
          <w:pgSz w:w="11900" w:h="16838" w:orient="portrait"/>
          <w:cols w:equalWidth="0" w:num="1">
            <w:col w:w="9019"/>
          </w:cols>
          <w:pgMar w:left="1440" w:top="120"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type w:val="continuous"/>
        </w:sectPr>
      </w:pPr>
    </w:p>
    <w:bookmarkStart w:id="8" w:name="page9"/>
    <w:bookmarkEnd w:id="8"/>
    <w:p>
      <w:pPr>
        <w:jc w:val="both"/>
        <w:ind w:left="700" w:right="79" w:hanging="2"/>
        <w:spacing w:after="0" w:line="252" w:lineRule="auto"/>
        <w:tabs>
          <w:tab w:leader="none" w:pos="100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Effective Time, the Company shall take all actions as are reasonably necessary to effect the treatment of the Benefit Plans and Other Obligations, options, restricted shares and other awards as set forth in this Section 3.2 in accordance with applicable law and the terms of the Benefit Plans and Other Obligations and any contracts evidencing such options, restricted shares and awards.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4.</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Plan of Reorganization</w:t>
      </w:r>
      <w:r>
        <w:rPr>
          <w:rFonts w:ascii="Times New Roman" w:cs="Times New Roman" w:eastAsia="Times New Roman" w:hAnsi="Times New Roman"/>
          <w:sz w:val="21"/>
          <w:szCs w:val="21"/>
          <w:color w:val="auto"/>
        </w:rPr>
        <w:t>. Each party to this Agreement agrees to treat the Reincorporation Merger for all income tax purposes as a “reorganization” within the meaning of Section 368(a) of the Internal Revenue Code of 1986, as amended, and the Treasury Regulations promulgated thereunder.</w:t>
      </w:r>
    </w:p>
    <w:p>
      <w:pPr>
        <w:spacing w:after="0" w:line="6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Subject to the provisions of applicable law, at any time prior to the Effective Time, the parties hereto may modify, amend or supplement this Agreement, whether before or after the approval of this Agreement by the shareholders of the Company; provided, however, that after any such approval, there shall not be made any amendment that by law requires the further approval by such shareholders without such further approval.</w:t>
      </w:r>
    </w:p>
    <w:p>
      <w:pPr>
        <w:spacing w:after="0" w:line="82"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Abandonment</w:t>
      </w:r>
      <w:r>
        <w:rPr>
          <w:rFonts w:ascii="Times New Roman" w:cs="Times New Roman" w:eastAsia="Times New Roman" w:hAnsi="Times New Roman"/>
          <w:sz w:val="21"/>
          <w:szCs w:val="21"/>
          <w:color w:val="auto"/>
        </w:rPr>
        <w:t>. At any time before the Effective Time, this Agreement may be terminated, and the Reincorporation Merger may be abandoned, by action of the Board notwithstanding the approval of this Agreement by the shareholders of the Company, to the extent permitted by applicable law and consistent with the resolutions of the Board.</w:t>
      </w:r>
    </w:p>
    <w:p>
      <w:pPr>
        <w:spacing w:after="0" w:line="70" w:lineRule="exact"/>
        <w:rPr>
          <w:sz w:val="20"/>
          <w:szCs w:val="20"/>
          <w:color w:val="auto"/>
        </w:rPr>
      </w:pPr>
    </w:p>
    <w:p>
      <w:pPr>
        <w:jc w:val="both"/>
        <w:ind w:left="60" w:right="59"/>
        <w:spacing w:after="0" w:line="248"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From time to time, as and when required by the Surviving Corporation or by its successors or assigns, there shall be executed and delivered on behalf of the Company such deeds and other instruments, and there shall be taken or caused to be taken by it all such further and other action, as shall be appropriate, advisable or necessary in order to vest, perfect or confirm, of record or otherwise, in the Surviving Corporation the title to and possession of all property, interests, assets, rights, privileges, immunities, powers, franchises and authority of the Company, and otherwise to carry out the purposes of this Agreement. The officers and directors of the Surviving Corporation are fully authorized in the name and on behalf of the Company or otherwise, to take any and all such action and to execute and deliver any and all such deeds and other instruments.</w:t>
      </w:r>
    </w:p>
    <w:p>
      <w:pPr>
        <w:spacing w:after="0" w:line="90"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each such counterpart being deemed to be an original instrument, and all such counterparts shall together constitute the same agreement.</w:t>
      </w:r>
    </w:p>
    <w:p>
      <w:pPr>
        <w:spacing w:after="0" w:line="6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DEEMED TO BE MADE IN AND IN ALL RESPECTS SHALL BE INTERPRETED, CONSTRUED AND GOVERNED BY AND IN ACCORDANCE WITH, THE LAWS OF THE STATE OF DELAWARE, WITHOUT REGARD TO THE CONFLICT OF LAW PRINCIPLES THEREOF.</w:t>
      </w:r>
    </w:p>
    <w:p>
      <w:pPr>
        <w:spacing w:after="0" w:line="67"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constitutes the entire agreement and supersedes all other prior agreements, understandings, representations and warranties, both written and oral, between the parties, with respect to the subject matter hereof.</w:t>
      </w:r>
    </w:p>
    <w:p>
      <w:pPr>
        <w:spacing w:after="0" w:line="60" w:lineRule="exact"/>
        <w:rPr>
          <w:sz w:val="20"/>
          <w:szCs w:val="20"/>
          <w:color w:val="auto"/>
        </w:rPr>
      </w:pPr>
    </w:p>
    <w:p>
      <w:pPr>
        <w:jc w:val="both"/>
        <w:ind w:left="60" w:right="59"/>
        <w:spacing w:after="0" w:line="248" w:lineRule="auto"/>
        <w:rPr>
          <w:sz w:val="20"/>
          <w:szCs w:val="20"/>
          <w:color w:val="auto"/>
        </w:rPr>
      </w:pPr>
      <w:r>
        <w:rPr>
          <w:rFonts w:ascii="Times New Roman" w:cs="Times New Roman" w:eastAsia="Times New Roman" w:hAnsi="Times New Roman"/>
          <w:sz w:val="21"/>
          <w:szCs w:val="21"/>
          <w:color w:val="auto"/>
        </w:rPr>
        <w:t xml:space="preserve">4.8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determined by any court or other authority of competent jurisdiction to be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9" w:name="page10"/>
    <w:bookmarkEnd w:id="9"/>
    <w:p>
      <w:pPr>
        <w:jc w:val="both"/>
        <w:ind w:left="60" w:right="79"/>
        <w:spacing w:after="0" w:line="270" w:lineRule="auto"/>
        <w:rPr>
          <w:sz w:val="20"/>
          <w:szCs w:val="20"/>
          <w:color w:val="auto"/>
        </w:rPr>
      </w:pPr>
      <w:r>
        <w:rPr>
          <w:rFonts w:ascii="Times New Roman" w:cs="Times New Roman" w:eastAsia="Times New Roman" w:hAnsi="Times New Roman"/>
          <w:sz w:val="21"/>
          <w:szCs w:val="21"/>
          <w:color w:val="auto"/>
        </w:rPr>
        <w:t>affected by such invalidity or unenforceability, nor shall such invalidity or unenforceability affect the validity or enforceability of such provision, or the application thereof, in any other jurisdiction.</w:t>
      </w:r>
    </w:p>
    <w:p>
      <w:pPr>
        <w:spacing w:after="0" w:line="51" w:lineRule="exact"/>
        <w:rPr>
          <w:sz w:val="20"/>
          <w:szCs w:val="20"/>
          <w:color w:val="auto"/>
        </w:rPr>
      </w:pPr>
    </w:p>
    <w:p>
      <w:pPr>
        <w:jc w:val="both"/>
        <w:ind w:left="60" w:right="79"/>
        <w:spacing w:after="0" w:line="283" w:lineRule="auto"/>
        <w:rPr>
          <w:sz w:val="20"/>
          <w:szCs w:val="20"/>
          <w:color w:val="auto"/>
        </w:rPr>
      </w:pPr>
      <w:r>
        <w:rPr>
          <w:rFonts w:ascii="Times New Roman" w:cs="Times New Roman" w:eastAsia="Times New Roman" w:hAnsi="Times New Roman"/>
          <w:sz w:val="21"/>
          <w:szCs w:val="21"/>
          <w:color w:val="auto"/>
        </w:rPr>
        <w:t xml:space="preserve">4.9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herein are for convenience of reference only, do not constitute part of this Agreement and shall not be deemed to limit or otherwise affect any of the provisions hereof.</w:t>
      </w:r>
    </w:p>
    <w:p>
      <w:pPr>
        <w:spacing w:after="0" w:line="38" w:lineRule="exact"/>
        <w:rPr>
          <w:sz w:val="20"/>
          <w:szCs w:val="20"/>
          <w:color w:val="auto"/>
        </w:rPr>
      </w:pPr>
    </w:p>
    <w:p>
      <w:pPr>
        <w:jc w:val="both"/>
        <w:ind w:left="60" w:right="59"/>
        <w:spacing w:after="0" w:line="248" w:lineRule="auto"/>
        <w:rPr>
          <w:sz w:val="20"/>
          <w:szCs w:val="20"/>
          <w:color w:val="auto"/>
        </w:rPr>
      </w:pPr>
      <w:r>
        <w:rPr>
          <w:rFonts w:ascii="Times New Roman" w:cs="Times New Roman" w:eastAsia="Times New Roman" w:hAnsi="Times New Roman"/>
          <w:sz w:val="21"/>
          <w:szCs w:val="21"/>
          <w:color w:val="auto"/>
        </w:rPr>
        <w:t xml:space="preserve">4.10 </w:t>
      </w:r>
      <w:r>
        <w:rPr>
          <w:rFonts w:ascii="Times New Roman" w:cs="Times New Roman" w:eastAsia="Times New Roman" w:hAnsi="Times New Roman"/>
          <w:sz w:val="21"/>
          <w:szCs w:val="21"/>
          <w:u w:val="single" w:color="auto"/>
          <w:color w:val="auto"/>
        </w:rPr>
        <w:t>Service of Process</w:t>
      </w:r>
      <w:r>
        <w:rPr>
          <w:rFonts w:ascii="Times New Roman" w:cs="Times New Roman" w:eastAsia="Times New Roman" w:hAnsi="Times New Roman"/>
          <w:sz w:val="21"/>
          <w:szCs w:val="21"/>
          <w:color w:val="auto"/>
        </w:rPr>
        <w:t>. The Surviving Corporation agrees that it may be served with process in the State of New Jersey in any proceeding for enforcement of any obligation of the Company as a New Jersey corporation, as well as for enforcement of any obligation of the Surviving Corporation arising from the Reincorporation Merger, and does hereby irrevocably appoint the Secretary of State of the State of New Jersey as its agent to accept service of process in any such suit or proceeding. The address to which a copy of such process shall be mailed by the Secretary of State of the State of New Jersey is NLI Holdings, Inc., 5430 LBJ Freeway, Suite 1700, Dallas, Texas 75240.</w:t>
      </w:r>
    </w:p>
    <w:p>
      <w:pPr>
        <w:spacing w:after="0" w:line="200" w:lineRule="exact"/>
        <w:rPr>
          <w:sz w:val="20"/>
          <w:szCs w:val="20"/>
          <w:color w:val="auto"/>
        </w:rPr>
      </w:pPr>
    </w:p>
    <w:p>
      <w:pPr>
        <w:spacing w:after="0" w:line="281" w:lineRule="exact"/>
        <w:rPr>
          <w:sz w:val="20"/>
          <w:szCs w:val="20"/>
          <w:color w:val="auto"/>
        </w:rPr>
      </w:pPr>
    </w:p>
    <w:p>
      <w:pPr>
        <w:jc w:val="both"/>
        <w:ind w:left="60" w:right="79" w:firstLine="648"/>
        <w:spacing w:after="0" w:line="283" w:lineRule="auto"/>
        <w:rPr>
          <w:sz w:val="20"/>
          <w:szCs w:val="20"/>
          <w:color w:val="auto"/>
        </w:rPr>
      </w:pPr>
      <w:r>
        <w:rPr>
          <w:rFonts w:ascii="Times New Roman" w:cs="Times New Roman" w:eastAsia="Times New Roman" w:hAnsi="Times New Roman"/>
          <w:sz w:val="21"/>
          <w:szCs w:val="21"/>
          <w:color w:val="auto"/>
        </w:rPr>
        <w:t>IN WITNESS WHEREOF, the undersigned corporations have caused this Agreement to be executed by their duly authorized officers as of the date first above written.</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NL INDUSTRIES, INC.,</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a New Jersey corporation</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By: ​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-12065</wp:posOffset>
            </wp:positionV>
            <wp:extent cx="844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-12065</wp:posOffset>
            </wp:positionV>
            <wp:extent cx="7302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250" cy="8890"/>
                    </a:xfrm>
                    <a:prstGeom prst="rect">
                      <a:avLst/>
                    </a:prstGeom>
                    <a:noFill/>
                  </pic:spPr>
                </pic:pic>
              </a:graphicData>
            </a:graphic>
          </wp:anchor>
        </w:drawing>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Name: Amy A. Samford</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Title: Executive Vice President and Chief Financial Officer</w:t>
      </w: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DELAWARE SUB</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NLI HOLDINGS, INC.,</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a Delaware corporation</w:t>
      </w: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By: ​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-12065</wp:posOffset>
            </wp:positionV>
            <wp:extent cx="844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-12065</wp:posOffset>
            </wp:positionV>
            <wp:extent cx="7302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Name: Amy A. Samford</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Title: Executive Vice President and Chief Financial Officer</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0" w:name="page11"/>
    <w:bookmarkEnd w:id="10"/>
    <w:p>
      <w:pPr>
        <w:jc w:val="right"/>
        <w:ind w:right="219"/>
        <w:spacing w:after="0"/>
        <w:rPr>
          <w:sz w:val="20"/>
          <w:szCs w:val="20"/>
          <w:color w:val="auto"/>
        </w:rPr>
      </w:pPr>
      <w:r>
        <w:rPr>
          <w:rFonts w:ascii="Times New Roman" w:cs="Times New Roman" w:eastAsia="Times New Roman" w:hAnsi="Times New Roman"/>
          <w:sz w:val="21"/>
          <w:szCs w:val="21"/>
          <w:color w:val="auto"/>
        </w:rPr>
        <w:t>Exhibit 3.1</w:t>
      </w:r>
    </w:p>
    <w:p>
      <w:pPr>
        <w:ind w:left="2700"/>
        <w:spacing w:after="0" w:line="214" w:lineRule="auto"/>
        <w:rPr>
          <w:sz w:val="20"/>
          <w:szCs w:val="20"/>
          <w:color w:val="auto"/>
        </w:rPr>
      </w:pPr>
      <w:r>
        <w:rPr>
          <w:rFonts w:ascii="Times New Roman" w:cs="Times New Roman" w:eastAsia="Times New Roman" w:hAnsi="Times New Roman"/>
          <w:sz w:val="21"/>
          <w:szCs w:val="21"/>
          <w:b w:val="1"/>
          <w:bCs w:val="1"/>
          <w:color w:val="auto"/>
        </w:rPr>
        <w:t>CERTIFICATE OF INCORPORATION</w:t>
      </w:r>
    </w:p>
    <w:p>
      <w:pPr>
        <w:ind w:left="4360"/>
        <w:spacing w:after="0" w:line="201" w:lineRule="auto"/>
        <w:rPr>
          <w:sz w:val="20"/>
          <w:szCs w:val="20"/>
          <w:color w:val="auto"/>
        </w:rPr>
      </w:pPr>
      <w:r>
        <w:rPr>
          <w:rFonts w:ascii="Times New Roman" w:cs="Times New Roman" w:eastAsia="Times New Roman" w:hAnsi="Times New Roman"/>
          <w:sz w:val="21"/>
          <w:szCs w:val="21"/>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NLI HOLDINGS, INC.</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2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The name of the corporation is NLI Holdings, Inc. (the “</w:t>
      </w:r>
      <w:r>
        <w:rPr>
          <w:rFonts w:ascii="Times New Roman" w:cs="Times New Roman" w:eastAsia="Times New Roman" w:hAnsi="Times New Roman"/>
          <w:sz w:val="21"/>
          <w:szCs w:val="21"/>
          <w:i w:val="1"/>
          <w:iCs w:val="1"/>
          <w:color w:val="auto"/>
        </w:rPr>
        <w:t>Corporation</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247"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color w:val="auto"/>
        </w:rPr>
        <w:t>The address of the registered office of the Corporation in the State of Delaware is 251 Little Falls Drive, Wilmington, Delaware 19808 in the City of Wilmington, County of New Castle. The name of its registered agent at such address is Corporation Service Company.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247" w:lineRule="exact"/>
        <w:rPr>
          <w:sz w:val="20"/>
          <w:szCs w:val="20"/>
          <w:color w:val="auto"/>
        </w:rPr>
      </w:pPr>
    </w:p>
    <w:p>
      <w:pPr>
        <w:jc w:val="both"/>
        <w:ind w:left="200" w:right="239" w:firstLine="648"/>
        <w:spacing w:after="0" w:line="270" w:lineRule="auto"/>
        <w:rPr>
          <w:sz w:val="20"/>
          <w:szCs w:val="20"/>
          <w:color w:val="auto"/>
        </w:rPr>
      </w:pPr>
      <w:r>
        <w:rPr>
          <w:rFonts w:ascii="Times New Roman" w:cs="Times New Roman" w:eastAsia="Times New Roman" w:hAnsi="Times New Roman"/>
          <w:sz w:val="21"/>
          <w:szCs w:val="21"/>
          <w:color w:val="auto"/>
        </w:rPr>
        <w:t>The purpose for which the Corporation is organized is to engage in any lawful act or activity for which corporations may be organized under the Delaware General Corporation Law.</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247" w:lineRule="exact"/>
        <w:rPr>
          <w:sz w:val="20"/>
          <w:szCs w:val="20"/>
          <w:color w:val="auto"/>
        </w:rPr>
      </w:pPr>
    </w:p>
    <w:p>
      <w:pPr>
        <w:jc w:val="both"/>
        <w:ind w:left="200" w:right="279" w:firstLine="648"/>
        <w:spacing w:after="0" w:line="246" w:lineRule="auto"/>
        <w:rPr>
          <w:sz w:val="20"/>
          <w:szCs w:val="20"/>
          <w:color w:val="auto"/>
        </w:rPr>
      </w:pPr>
      <w:r>
        <w:rPr>
          <w:rFonts w:ascii="Times New Roman" w:cs="Times New Roman" w:eastAsia="Times New Roman" w:hAnsi="Times New Roman"/>
          <w:sz w:val="21"/>
          <w:szCs w:val="21"/>
          <w:color w:val="auto"/>
        </w:rPr>
        <w:t>The total number of shares of all classes of stock which the Corporation has authority to issue is one hundred fifty-five million (155,000,000) shares, of which one hundred fifty million (150,000,000) shares are common stock, $.125 par value per share (hereinafter referred to as “</w:t>
      </w:r>
      <w:r>
        <w:rPr>
          <w:rFonts w:ascii="Times New Roman" w:cs="Times New Roman" w:eastAsia="Times New Roman" w:hAnsi="Times New Roman"/>
          <w:sz w:val="21"/>
          <w:szCs w:val="21"/>
          <w:i w:val="1"/>
          <w:iCs w:val="1"/>
          <w:color w:val="auto"/>
        </w:rPr>
        <w:t>Common Stock</w:t>
      </w:r>
      <w:r>
        <w:rPr>
          <w:rFonts w:ascii="Times New Roman" w:cs="Times New Roman" w:eastAsia="Times New Roman" w:hAnsi="Times New Roman"/>
          <w:sz w:val="21"/>
          <w:szCs w:val="21"/>
          <w:color w:val="auto"/>
        </w:rPr>
        <w:t>”), and five million (5,000,000) shares are preferred stock, without par value (hereinafter referred to as “</w:t>
      </w:r>
      <w:r>
        <w:rPr>
          <w:rFonts w:ascii="Times New Roman" w:cs="Times New Roman" w:eastAsia="Times New Roman" w:hAnsi="Times New Roman"/>
          <w:sz w:val="21"/>
          <w:szCs w:val="21"/>
          <w:i w:val="1"/>
          <w:iCs w:val="1"/>
          <w:color w:val="auto"/>
        </w:rPr>
        <w:t>Preferred Stock</w:t>
      </w:r>
      <w:r>
        <w:rPr>
          <w:rFonts w:ascii="Times New Roman" w:cs="Times New Roman" w:eastAsia="Times New Roman" w:hAnsi="Times New Roman"/>
          <w:sz w:val="21"/>
          <w:szCs w:val="21"/>
          <w:color w:val="auto"/>
        </w:rPr>
        <w:t>”). The designation and the powers, preferences and rights of the shares of Common Stock and Preferred Stock and the qualifications, limitations and restrictions thereof are as follows:</w:t>
      </w:r>
    </w:p>
    <w:p>
      <w:pPr>
        <w:spacing w:after="0" w:line="20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b w:val="1"/>
          <w:bCs w:val="1"/>
          <w:color w:val="auto"/>
        </w:rPr>
        <w:t>Section 4.1.</w:t>
      </w:r>
    </w:p>
    <w:p>
      <w:pPr>
        <w:spacing w:after="0" w:line="247" w:lineRule="exact"/>
        <w:rPr>
          <w:sz w:val="20"/>
          <w:szCs w:val="20"/>
          <w:color w:val="auto"/>
        </w:rPr>
      </w:pPr>
    </w:p>
    <w:p>
      <w:pPr>
        <w:jc w:val="both"/>
        <w:ind w:left="200" w:right="279" w:firstLine="1305"/>
        <w:spacing w:after="0" w:line="251" w:lineRule="auto"/>
        <w:tabs>
          <w:tab w:leader="none" w:pos="2144" w:val="left"/>
        </w:tabs>
        <w:numPr>
          <w:ilvl w:val="0"/>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Shares of Common Stock may be issued from time to time as the Board of Directors shall determine and on such terms and for such consideration as shall be fixed by the Board of Directors. Each share of Common Stock shall be equal to every other share of Common Stock in every respect.</w:t>
      </w:r>
    </w:p>
    <w:p>
      <w:pPr>
        <w:spacing w:after="0" w:line="204" w:lineRule="exact"/>
        <w:rPr>
          <w:rFonts w:ascii="Times New Roman" w:cs="Times New Roman" w:eastAsia="Times New Roman" w:hAnsi="Times New Roman"/>
          <w:sz w:val="21"/>
          <w:szCs w:val="21"/>
          <w:b w:val="1"/>
          <w:bCs w:val="1"/>
          <w:color w:val="auto"/>
        </w:rPr>
      </w:pPr>
    </w:p>
    <w:p>
      <w:pPr>
        <w:jc w:val="both"/>
        <w:ind w:left="200" w:right="219" w:firstLine="1305"/>
        <w:spacing w:after="0" w:line="255" w:lineRule="auto"/>
        <w:tabs>
          <w:tab w:leader="none" w:pos="2144" w:val="left"/>
        </w:tabs>
        <w:numPr>
          <w:ilvl w:val="0"/>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holders of Common Stock shall be entitled to one vote for each share of Common Stock held of record on the books of the Corporation with respect to all matters submitted for stockholder approval.</w:t>
      </w:r>
    </w:p>
    <w:p>
      <w:pPr>
        <w:spacing w:after="0" w:line="20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Section 4.2. </w:t>
      </w:r>
      <w:r>
        <w:rPr>
          <w:rFonts w:ascii="Times New Roman" w:cs="Times New Roman" w:eastAsia="Times New Roman" w:hAnsi="Times New Roman"/>
          <w:sz w:val="21"/>
          <w:szCs w:val="21"/>
          <w:color w:val="auto"/>
        </w:rPr>
        <w:t>Preferred Stock may be issued from time to time in one or more series with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designations as may be stated in the resolution or resolutions providing for the issue of such stock from time to time adopted by the Board of Directors. The resolution or resolutions providing for the issuance of shares of a particular series shall fix, subject to applicable laws and provisions of this Article IV, the designations, rights, preferences and limitations of the shares of each such series. The authority of the Board of Directors in respect to each series shall include, but not be limited to, determination of the following:</w:t>
      </w:r>
    </w:p>
    <w:p>
      <w:pPr>
        <w:spacing w:after="0" w:line="213" w:lineRule="exact"/>
        <w:rPr>
          <w:sz w:val="20"/>
          <w:szCs w:val="20"/>
          <w:color w:val="auto"/>
        </w:rPr>
      </w:pPr>
    </w:p>
    <w:p>
      <w:pPr>
        <w:ind w:left="2160" w:hanging="655"/>
        <w:spacing w:after="0"/>
        <w:tabs>
          <w:tab w:leader="none" w:pos="2160" w:val="left"/>
        </w:tabs>
        <w:numPr>
          <w:ilvl w:val="0"/>
          <w:numId w:val="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consideration for which such Preferred Stock shall be issued;</w:t>
      </w:r>
    </w:p>
    <w:p>
      <w:pPr>
        <w:spacing w:after="0" w:line="244" w:lineRule="exact"/>
        <w:rPr>
          <w:rFonts w:ascii="Times New Roman" w:cs="Times New Roman" w:eastAsia="Times New Roman" w:hAnsi="Times New Roman"/>
          <w:sz w:val="21"/>
          <w:szCs w:val="21"/>
          <w:b w:val="1"/>
          <w:bCs w:val="1"/>
          <w:color w:val="auto"/>
        </w:rPr>
      </w:pPr>
    </w:p>
    <w:p>
      <w:pPr>
        <w:ind w:left="200" w:right="219" w:firstLine="1305"/>
        <w:spacing w:after="0" w:line="270" w:lineRule="auto"/>
        <w:tabs>
          <w:tab w:leader="none" w:pos="2144" w:val="left"/>
        </w:tabs>
        <w:numPr>
          <w:ilvl w:val="0"/>
          <w:numId w:val="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number of shares constituting such series, including the authority to increase or decrease such number, and the distinctive designation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318770</wp:posOffset>
            </wp:positionV>
            <wp:extent cx="54521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sectPr>
      </w:pPr>
    </w:p>
    <w:bookmarkStart w:id="11" w:name="page12"/>
    <w:bookmarkEnd w:id="11"/>
    <w:p>
      <w:pPr>
        <w:jc w:val="both"/>
        <w:ind w:left="200" w:right="219" w:firstLine="1305"/>
        <w:spacing w:after="0" w:line="255" w:lineRule="auto"/>
        <w:tabs>
          <w:tab w:leader="none" w:pos="2144"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dividend rate of the shares of such series, whether the dividends shall be cumulative and, if so, the date from which they shall be cumulative, and the relative rights of priority, if any, of payment of dividends on shares of such series;</w:t>
      </w:r>
    </w:p>
    <w:p>
      <w:pPr>
        <w:spacing w:after="0" w:line="202" w:lineRule="exact"/>
        <w:rPr>
          <w:rFonts w:ascii="Times New Roman" w:cs="Times New Roman" w:eastAsia="Times New Roman" w:hAnsi="Times New Roman"/>
          <w:sz w:val="21"/>
          <w:szCs w:val="21"/>
          <w:b w:val="1"/>
          <w:bCs w:val="1"/>
          <w:color w:val="auto"/>
        </w:rPr>
      </w:pPr>
    </w:p>
    <w:p>
      <w:pPr>
        <w:ind w:left="200" w:right="299" w:firstLine="1305"/>
        <w:spacing w:after="0" w:line="270" w:lineRule="auto"/>
        <w:tabs>
          <w:tab w:leader="none" w:pos="2144"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right, if any, of the Corporation to redeem shares of such series and the terms and conditions of such redemption;</w:t>
      </w:r>
    </w:p>
    <w:p>
      <w:pPr>
        <w:spacing w:after="0" w:line="185" w:lineRule="exact"/>
        <w:rPr>
          <w:rFonts w:ascii="Times New Roman" w:cs="Times New Roman" w:eastAsia="Times New Roman" w:hAnsi="Times New Roman"/>
          <w:sz w:val="21"/>
          <w:szCs w:val="21"/>
          <w:b w:val="1"/>
          <w:bCs w:val="1"/>
          <w:color w:val="auto"/>
        </w:rPr>
      </w:pPr>
    </w:p>
    <w:p>
      <w:pPr>
        <w:jc w:val="both"/>
        <w:ind w:left="200" w:right="299" w:firstLine="1305"/>
        <w:spacing w:after="0" w:line="255" w:lineRule="auto"/>
        <w:tabs>
          <w:tab w:leader="none" w:pos="2144"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rights of the shares in case of a voluntary or involuntary liquidation, dissolution or winding up of the Corporation, and the relative rights of priority, if any, of payment of shares of such series;</w:t>
      </w:r>
    </w:p>
    <w:p>
      <w:pPr>
        <w:spacing w:after="0" w:line="202" w:lineRule="exact"/>
        <w:rPr>
          <w:rFonts w:ascii="Times New Roman" w:cs="Times New Roman" w:eastAsia="Times New Roman" w:hAnsi="Times New Roman"/>
          <w:sz w:val="21"/>
          <w:szCs w:val="21"/>
          <w:b w:val="1"/>
          <w:bCs w:val="1"/>
          <w:color w:val="auto"/>
        </w:rPr>
      </w:pPr>
    </w:p>
    <w:p>
      <w:pPr>
        <w:jc w:val="both"/>
        <w:ind w:left="200" w:right="279" w:firstLine="1305"/>
        <w:spacing w:after="0" w:line="255" w:lineRule="auto"/>
        <w:tabs>
          <w:tab w:leader="none" w:pos="2144"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obligation, if any, of the Corporation to retire shares of such series pursuant to a retirement or sinking fund or funds of a similar nature or otherwise and the terms and conditions of such obligation;</w:t>
      </w:r>
    </w:p>
    <w:p>
      <w:pPr>
        <w:spacing w:after="0" w:line="202" w:lineRule="exact"/>
        <w:rPr>
          <w:rFonts w:ascii="Times New Roman" w:cs="Times New Roman" w:eastAsia="Times New Roman" w:hAnsi="Times New Roman"/>
          <w:sz w:val="21"/>
          <w:szCs w:val="21"/>
          <w:b w:val="1"/>
          <w:bCs w:val="1"/>
          <w:color w:val="auto"/>
        </w:rPr>
      </w:pPr>
    </w:p>
    <w:p>
      <w:pPr>
        <w:jc w:val="both"/>
        <w:ind w:left="200" w:right="279" w:firstLine="1305"/>
        <w:spacing w:after="0" w:line="255" w:lineRule="auto"/>
        <w:tabs>
          <w:tab w:leader="none" w:pos="2144"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terms and conditions, if any, upon which shares of such series shall be convertible into or exchangeable for shares of stock of any other class or series, including the price or prices or the rate or rates of conversion or exchange and the terms of adjustment, if any;</w:t>
      </w:r>
    </w:p>
    <w:p>
      <w:pPr>
        <w:spacing w:after="0" w:line="202" w:lineRule="exact"/>
        <w:rPr>
          <w:rFonts w:ascii="Times New Roman" w:cs="Times New Roman" w:eastAsia="Times New Roman" w:hAnsi="Times New Roman"/>
          <w:sz w:val="21"/>
          <w:szCs w:val="21"/>
          <w:b w:val="1"/>
          <w:bCs w:val="1"/>
          <w:color w:val="auto"/>
        </w:rPr>
      </w:pPr>
    </w:p>
    <w:p>
      <w:pPr>
        <w:ind w:left="200" w:right="359" w:firstLine="1305"/>
        <w:spacing w:after="0" w:line="270" w:lineRule="auto"/>
        <w:tabs>
          <w:tab w:leader="none" w:pos="2144"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voting rights, if any, of the shares of such series, in addition to any voting rights required by law; and</w:t>
      </w:r>
    </w:p>
    <w:p>
      <w:pPr>
        <w:spacing w:after="0" w:line="185" w:lineRule="exact"/>
        <w:rPr>
          <w:rFonts w:ascii="Times New Roman" w:cs="Times New Roman" w:eastAsia="Times New Roman" w:hAnsi="Times New Roman"/>
          <w:sz w:val="21"/>
          <w:szCs w:val="21"/>
          <w:b w:val="1"/>
          <w:bCs w:val="1"/>
          <w:color w:val="auto"/>
        </w:rPr>
      </w:pPr>
    </w:p>
    <w:p>
      <w:pPr>
        <w:ind w:left="2160" w:hanging="655"/>
        <w:spacing w:after="0"/>
        <w:tabs>
          <w:tab w:leader="none" w:pos="2160"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other rights, preferences or limitations of shares of such series.</w:t>
      </w:r>
    </w:p>
    <w:p>
      <w:pPr>
        <w:spacing w:after="0" w:line="243"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Section 4.3</w:t>
      </w:r>
      <w:r>
        <w:rPr>
          <w:rFonts w:ascii="Times New Roman" w:cs="Times New Roman" w:eastAsia="Times New Roman" w:hAnsi="Times New Roman"/>
          <w:sz w:val="21"/>
          <w:szCs w:val="21"/>
          <w:color w:val="auto"/>
        </w:rPr>
        <w:t>. No holder of stock of any class or series or of other securities of the Corporation,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of options, warrants or other rights to purchase stock of any class or series or other securities of the Corporation, shall have any preemptive or preferential right to purchase or subscribe for any securities of the Corporation.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219"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Section 5.1</w:t>
      </w:r>
      <w:r>
        <w:rPr>
          <w:rFonts w:ascii="Times New Roman" w:cs="Times New Roman" w:eastAsia="Times New Roman" w:hAnsi="Times New Roman"/>
          <w:sz w:val="21"/>
          <w:szCs w:val="21"/>
          <w:color w:val="auto"/>
        </w:rPr>
        <w:t>. To the fullest extent permitted by Delaware law, the Corporation shall indemnify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and all officers and directors of the Corporation from and against all expenses (including attorneys’ fees), liabilities or other matters arising out of their status as such or their acts, omissions or services rendered by such persons in such capacities or otherwise while serving at the request of the Corporation in any other capacity. Unless specifically addressed in a repeal or amendment of Delaware law with regard to a Corporation’s ability to indemnify any such person, no such repeal or amendment shall adversely affect any indemnification rights of any such person existing at the time of such repeal or amendment. This Section 5.1 does not limit the power of the Corporation to indemnify and advance expenses as authorized in the Bylaws of the Corporation.</w:t>
      </w:r>
    </w:p>
    <w:p>
      <w:pPr>
        <w:spacing w:after="0" w:line="211" w:lineRule="exact"/>
        <w:rPr>
          <w:sz w:val="20"/>
          <w:szCs w:val="20"/>
          <w:color w:val="auto"/>
        </w:rPr>
      </w:pPr>
    </w:p>
    <w:p>
      <w:pPr>
        <w:jc w:val="both"/>
        <w:ind w:left="200" w:right="279"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Section 5.2</w:t>
      </w:r>
      <w:r>
        <w:rPr>
          <w:rFonts w:ascii="Times New Roman" w:cs="Times New Roman" w:eastAsia="Times New Roman" w:hAnsi="Times New Roman"/>
          <w:sz w:val="21"/>
          <w:szCs w:val="21"/>
          <w:color w:val="auto"/>
        </w:rPr>
        <w:t>. A Director of the Corporation shall not be personally liable to the Corporation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its stockholders for monetary damages for breach of fiduciary duty as a Director, except for such liability as is expressly not subject to limitation under the Delaware General Corporation Law. If the Delaware General Corporation Law is hereafter amended, then the liability of a Director of the Corporation shall be eliminated or limited to the fullest extent permitted by the Delaware General Corporation Law as so amended. Any repeal or modification of this Section 5.2 shall not adversely affect any right or protection of a Director of the Corporation existing at the time of such repeal or modification.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3"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247"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color w:val="auto"/>
        </w:rPr>
        <w:t>In furtherance of, and not in limitation of, the powers conferred by statute, the Board of Directors is hereby expressly authorized and empowered to adopt, alter, amend or repeal the Bylaws of the Corporation, without any action or approval by the stockholders of the Corporation, by the affirmative vote of a majority of the Directors then in office.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245"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7.1. </w:t>
      </w:r>
      <w:r>
        <w:rPr>
          <w:rFonts w:ascii="Times New Roman" w:cs="Times New Roman" w:eastAsia="Times New Roman" w:hAnsi="Times New Roman"/>
          <w:sz w:val="21"/>
          <w:szCs w:val="21"/>
          <w:color w:val="auto"/>
        </w:rPr>
        <w:t>The Corporation may in its Bylaws confer powers upon its Board of Directors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addition to, but not in contravention of, those elsewhere provided in this Certificate of Incorporation (this “</w:t>
      </w:r>
      <w:r>
        <w:rPr>
          <w:rFonts w:ascii="Times New Roman" w:cs="Times New Roman" w:eastAsia="Times New Roman" w:hAnsi="Times New Roman"/>
          <w:sz w:val="21"/>
          <w:szCs w:val="21"/>
          <w:i w:val="1"/>
          <w:iCs w:val="1"/>
          <w:color w:val="auto"/>
        </w:rPr>
        <w:t>Certificate of Incorporation</w:t>
      </w:r>
      <w:r>
        <w:rPr>
          <w:rFonts w:ascii="Times New Roman" w:cs="Times New Roman" w:eastAsia="Times New Roman" w:hAnsi="Times New Roman"/>
          <w:sz w:val="21"/>
          <w:szCs w:val="21"/>
          <w:color w:val="auto"/>
        </w:rPr>
        <w:t>”) and by the laws of the State of Delaware. All of the powers of the Corporation, insofar as the same be lawfully vested by this Certificate of Incorporation in the Board of Directors, are hereby conferred upon and vested in the Board of Directors of the Corporation.</w:t>
      </w:r>
    </w:p>
    <w:p>
      <w:pPr>
        <w:spacing w:after="0" w:line="205" w:lineRule="exact"/>
        <w:rPr>
          <w:sz w:val="20"/>
          <w:szCs w:val="20"/>
          <w:color w:val="auto"/>
        </w:rPr>
      </w:pPr>
    </w:p>
    <w:p>
      <w:pPr>
        <w:jc w:val="both"/>
        <w:ind w:left="200" w:right="279"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Section 7.2. </w:t>
      </w:r>
      <w:r>
        <w:rPr>
          <w:rFonts w:ascii="Times New Roman" w:cs="Times New Roman" w:eastAsia="Times New Roman" w:hAnsi="Times New Roman"/>
          <w:sz w:val="21"/>
          <w:szCs w:val="21"/>
          <w:color w:val="auto"/>
        </w:rPr>
        <w:t>The Board of Directors and stockholders of the Corporation shall have the power,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provided by the Bylaws, to hold their respective meetings within or outside the State of Delaware. The Directors shall have the power to keep the books, papers, documents and records of the Corporation within or without the State of Delaware (except to the extent required by the laws of the State of Delaware to be kept within that state), and to establish one or more offices of the Corporation within or without the State of Delaware as the Board of Directors may from time to time authorize. Election of Directors need not be by written ballot unless the Bylaws of the Corporation so provide.</w:t>
      </w:r>
    </w:p>
    <w:p>
      <w:pPr>
        <w:spacing w:after="0" w:line="215" w:lineRule="exact"/>
        <w:rPr>
          <w:sz w:val="20"/>
          <w:szCs w:val="20"/>
          <w:color w:val="auto"/>
        </w:rPr>
      </w:pPr>
    </w:p>
    <w:p>
      <w:pPr>
        <w:jc w:val="both"/>
        <w:ind w:left="200" w:right="299" w:firstLine="648"/>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7.3. </w:t>
      </w:r>
      <w:r>
        <w:rPr>
          <w:rFonts w:ascii="Times New Roman" w:cs="Times New Roman" w:eastAsia="Times New Roman" w:hAnsi="Times New Roman"/>
          <w:sz w:val="21"/>
          <w:szCs w:val="21"/>
          <w:color w:val="auto"/>
        </w:rPr>
        <w:t>The Corporation reserves the right to amend, alter, change or repeal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provision contained in this Certificate of Incorporation in the manner now or hereafter provided by statute, and all rights conferred upon stockholders herein are granted subject to this reservation.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247" w:lineRule="exact"/>
        <w:rPr>
          <w:sz w:val="20"/>
          <w:szCs w:val="20"/>
          <w:color w:val="auto"/>
        </w:rPr>
      </w:pPr>
    </w:p>
    <w:p>
      <w:pPr>
        <w:jc w:val="both"/>
        <w:ind w:left="200" w:right="279" w:firstLine="648"/>
        <w:spacing w:after="0" w:line="270" w:lineRule="auto"/>
        <w:rPr>
          <w:sz w:val="20"/>
          <w:szCs w:val="20"/>
          <w:color w:val="auto"/>
        </w:rPr>
      </w:pPr>
      <w:r>
        <w:rPr>
          <w:rFonts w:ascii="Times New Roman" w:cs="Times New Roman" w:eastAsia="Times New Roman" w:hAnsi="Times New Roman"/>
          <w:sz w:val="21"/>
          <w:szCs w:val="21"/>
          <w:color w:val="auto"/>
        </w:rPr>
        <w:t>The Corporation expressly elects not to be governed by Section 203 of the Delaware General Corporation Law.</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247" w:lineRule="exact"/>
        <w:rPr>
          <w:sz w:val="20"/>
          <w:szCs w:val="20"/>
          <w:color w:val="auto"/>
        </w:rPr>
      </w:pPr>
    </w:p>
    <w:p>
      <w:pPr>
        <w:jc w:val="both"/>
        <w:ind w:left="200" w:right="279" w:firstLine="648"/>
        <w:spacing w:after="0" w:line="248" w:lineRule="auto"/>
        <w:rPr>
          <w:sz w:val="20"/>
          <w:szCs w:val="20"/>
          <w:color w:val="auto"/>
        </w:rPr>
      </w:pPr>
      <w:r>
        <w:rPr>
          <w:rFonts w:ascii="Times New Roman" w:cs="Times New Roman" w:eastAsia="Times New Roman" w:hAnsi="Times New Roman"/>
          <w:sz w:val="21"/>
          <w:szCs w:val="21"/>
          <w:color w:val="auto"/>
        </w:rPr>
        <w:t>Except as otherwise required by law and subject to the rights of the holders of Preferred Stock or any other class of capital stock of the Corporation (other than Common Stock) or any series of any of the foregoing which is then outstanding, special meetings of stockholders of the Corporation may be called (i) as set forth in the bylaws of the Corporation or (ii) by the holders of at least 10% of the shares of the Corporation that would be entitled to vote at such meeting.</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X.</w:t>
      </w:r>
    </w:p>
    <w:p>
      <w:pPr>
        <w:spacing w:after="0" w:line="247" w:lineRule="exact"/>
        <w:rPr>
          <w:sz w:val="20"/>
          <w:szCs w:val="20"/>
          <w:color w:val="auto"/>
        </w:rPr>
      </w:pPr>
    </w:p>
    <w:p>
      <w:pPr>
        <w:jc w:val="both"/>
        <w:ind w:left="200" w:right="279" w:firstLine="648"/>
        <w:spacing w:after="0" w:line="270" w:lineRule="auto"/>
        <w:rPr>
          <w:sz w:val="20"/>
          <w:szCs w:val="20"/>
          <w:color w:val="auto"/>
        </w:rPr>
      </w:pPr>
      <w:r>
        <w:rPr>
          <w:rFonts w:ascii="Times New Roman" w:cs="Times New Roman" w:eastAsia="Times New Roman" w:hAnsi="Times New Roman"/>
          <w:sz w:val="21"/>
          <w:szCs w:val="21"/>
          <w:color w:val="auto"/>
        </w:rPr>
        <w:t>The name of the incorporator is Jane R. Grimm whose mailing address is 5430 LBJ Freeway, Suite 1700, Dallas, Texas 75240.</w:t>
      </w:r>
    </w:p>
    <w:p>
      <w:pPr>
        <w:spacing w:after="0" w:line="200" w:lineRule="exact"/>
        <w:rPr>
          <w:sz w:val="20"/>
          <w:szCs w:val="20"/>
          <w:color w:val="auto"/>
        </w:rPr>
      </w:pPr>
    </w:p>
    <w:p>
      <w:pPr>
        <w:spacing w:after="0" w:line="227" w:lineRule="exact"/>
        <w:rPr>
          <w:sz w:val="20"/>
          <w:szCs w:val="20"/>
          <w:color w:val="auto"/>
        </w:rPr>
      </w:pPr>
    </w:p>
    <w:p>
      <w:pPr>
        <w:jc w:val="both"/>
        <w:ind w:left="200" w:right="299" w:firstLine="648"/>
        <w:spacing w:after="0" w:line="272"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being the incorporator named above,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executed, signed, and acknowledged this Certificate of Incorporation this May 14, 2026.</w:t>
      </w:r>
    </w:p>
    <w:p>
      <w:pPr>
        <w:spacing w:after="0" w:line="29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/s/ Jane Grimm​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-12065</wp:posOffset>
            </wp:positionV>
            <wp:extent cx="8426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42645" cy="8255"/>
                    </a:xfrm>
                    <a:prstGeom prst="rect">
                      <a:avLst/>
                    </a:prstGeom>
                    <a:noFill/>
                  </pic:spPr>
                </pic:pic>
              </a:graphicData>
            </a:graphic>
          </wp:anchor>
        </w:drawing>
      </w:r>
    </w:p>
    <w:p>
      <w:pPr>
        <w:spacing w:after="0" w:line="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Jane R. Grimm, Incorporator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 w:name="page14"/>
    <w:bookmarkEnd w:id="13"/>
    <w:p>
      <w:pPr>
        <w:jc w:val="right"/>
        <w:ind w:right="219"/>
        <w:spacing w:after="0"/>
        <w:rPr>
          <w:sz w:val="20"/>
          <w:szCs w:val="20"/>
          <w:color w:val="auto"/>
        </w:rPr>
      </w:pPr>
      <w:r>
        <w:rPr>
          <w:rFonts w:ascii="Times New Roman" w:cs="Times New Roman" w:eastAsia="Times New Roman" w:hAnsi="Times New Roman"/>
          <w:sz w:val="22"/>
          <w:szCs w:val="22"/>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NLI HOLDINGS, INC.</w:t>
      </w:r>
    </w:p>
    <w:p>
      <w:pPr>
        <w:spacing w:after="0" w:line="5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(Adopted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400050</wp:posOffset>
            </wp:positionV>
            <wp:extent cx="54521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 w:name="page15"/>
    <w:bookmarkEnd w:id="14"/>
    <w:tbl>
      <w:tblPr>
        <w:tblLayout w:type="fixed"/>
        <w:tblInd w:w="220" w:type="dxa"/>
        <w:tblCellMar>
          <w:top w:w="0" w:type="dxa"/>
          <w:left w:w="0" w:type="dxa"/>
          <w:bottom w:w="0" w:type="dxa"/>
          <w:right w:w="0" w:type="dxa"/>
        </w:tblCellMar>
      </w:tblPr>
      <w:tr>
        <w:trPr>
          <w:trHeight w:val="238"/>
        </w:trPr>
        <w:tc>
          <w:tcPr>
            <w:tcW w:w="824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r>
      <w:tr>
        <w:trPr>
          <w:trHeight w:val="392"/>
        </w:trPr>
        <w:tc>
          <w:tcPr>
            <w:tcW w:w="82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18"/>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highlight w:val="white"/>
              </w:rPr>
              <w:t>TABLE OF CONTENTS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1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highlight w:val="white"/>
              </w:rPr>
              <w:t>ARTICLE I. REGISTERED AGENT AND OFFICES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1.1. Registered Agent and Office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1.2. Other Offices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highlight w:val="white"/>
              </w:rPr>
              <w:t>ARTICLE II. MEETINGS OF STOCKHOLDERS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2.1. Place and Time of Meetings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2.2. Business to be Transacted at Meetings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2.3. Notice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2.4 Notice by Electronic Transmission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2.5. List of Stockholders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2.6. Quorum</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2.7. Adjournment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2.8. Voting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2.9. Proxies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2.10. Order of Business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2.11. Appointment of Inspectors of Election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2.12. Action Without a Meeting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2.13. Fixing A Record Date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2.14. Remote Communications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2.15. Minutes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highlight w:val="white"/>
              </w:rPr>
              <w:t>ARTICLE III. DIRECTORS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3.1. Number, Qualifications and Term of Office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3.2. Nomination of Director Candidates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3.3. Removals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3.4. Vacancies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3.5. Annual Meeting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3.6. Other Meetings and Notice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3.7. Quorum</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3.8. Committees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3.9. Committee Rules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3.10. Telephonic Meetings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3.11. Presumption of Assent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3.12. Action Without a Meeting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3.13.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8"/>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3.14. Minutes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highlight w:val="white"/>
              </w:rPr>
              <w:t>ARTICLE IV.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4.1. Number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4.2. Election and Term of Office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4.3. The Chair of the Board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4.4. The Vice Chair of the Board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4.5. The President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4.6. The Chief Executive Officer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4.7. The Chief Financial Officer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4.8. Vice Presidents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4.9. The Secretary and Assistant Secretary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4.10. The Treasurer and Assistant Treasurer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4.11. Vacancies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4.12. Other Officers, Assistant Officers and Agents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6"/>
        </w:trPr>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4.13. Normal Duties and Responsibilities of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-6720205</wp:posOffset>
            </wp:positionV>
            <wp:extent cx="5452110" cy="6720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672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5" w:name="page16"/>
    <w:bookmarkEnd w:id="15"/>
    <w:tbl>
      <w:tblPr>
        <w:tblLayout w:type="fixed"/>
        <w:tblInd w:w="220" w:type="dxa"/>
        <w:tblCellMar>
          <w:top w:w="0" w:type="dxa"/>
          <w:left w:w="0" w:type="dxa"/>
          <w:bottom w:w="0" w:type="dxa"/>
          <w:right w:w="0" w:type="dxa"/>
        </w:tblCellMar>
      </w:tblPr>
      <w:tr>
        <w:trPr>
          <w:trHeight w:val="21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highlight w:val="white"/>
              </w:rPr>
              <w:t>ARTICLE V. INDEMNIFICATION AND INSURANCE OF DIRECTORS, OFFICERS AND OTHERS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5.1. Indemnification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5.2. Advancement of Expenses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5.3. Expenses of Contested Indemnification Claims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5.4. Indemnification Not Exclusive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5.5. Survival of Indemnification and Advancement of Expenses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5.6. Employees, Agents and Others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5.7. Contract Right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5.8. Insurance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5.9. Certain References Under Article V</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highlight w:val="white"/>
              </w:rPr>
              <w:t xml:space="preserve">ARTICLE VI. </w:t>
            </w:r>
            <w:r>
              <w:rPr>
                <w:rFonts w:ascii="Times New Roman" w:cs="Times New Roman" w:eastAsia="Times New Roman" w:hAnsi="Times New Roman"/>
                <w:sz w:val="18"/>
                <w:szCs w:val="18"/>
                <w:i w:val="1"/>
                <w:iCs w:val="1"/>
                <w:color w:val="auto"/>
                <w:highlight w:val="white"/>
              </w:rPr>
              <w:t>STOCK CERTIFICATES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6.1. Form</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6.2. Transfers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6.3. Lost or Destroyed Certificates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6.4. Registered Stockholders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6.5. Restrictions on Transfers of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highlight w:val="white"/>
              </w:rPr>
              <w:t xml:space="preserve">ARTICLE VII. </w:t>
            </w:r>
            <w:r>
              <w:rPr>
                <w:rFonts w:ascii="Times New Roman" w:cs="Times New Roman" w:eastAsia="Times New Roman" w:hAnsi="Times New Roman"/>
                <w:sz w:val="18"/>
                <w:szCs w:val="18"/>
                <w:i w:val="1"/>
                <w:iCs w:val="1"/>
                <w:color w:val="auto"/>
                <w:highlight w:val="white"/>
              </w:rPr>
              <w:t>CERTAIN BUSINESS COMBINATIONS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highlight w:val="white"/>
              </w:rPr>
              <w:t xml:space="preserve">ARTICLE </w:t>
            </w:r>
            <w:r>
              <w:rPr>
                <w:rFonts w:ascii="Times New Roman" w:cs="Times New Roman" w:eastAsia="Times New Roman" w:hAnsi="Times New Roman"/>
                <w:sz w:val="18"/>
                <w:szCs w:val="18"/>
                <w:color w:val="auto"/>
                <w:highlight w:val="white"/>
              </w:rPr>
              <w:t>VIII.</w:t>
            </w:r>
            <w:r>
              <w:rPr>
                <w:rFonts w:ascii="Times New Roman" w:cs="Times New Roman" w:eastAsia="Times New Roman" w:hAnsi="Times New Roman"/>
                <w:sz w:val="18"/>
                <w:szCs w:val="18"/>
                <w:i w:val="1"/>
                <w:iCs w:val="1"/>
                <w:color w:val="auto"/>
                <w:highlight w:val="white"/>
              </w:rPr>
              <w:t xml:space="preserve"> GENERAL PROVISIONS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8.1. Dividends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8.2. Accounts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highlight w:val="white"/>
              </w:rPr>
              <w:t xml:space="preserve">ARTICLE </w:t>
            </w:r>
            <w:r>
              <w:rPr>
                <w:rFonts w:ascii="Times New Roman" w:cs="Times New Roman" w:eastAsia="Times New Roman" w:hAnsi="Times New Roman"/>
                <w:sz w:val="18"/>
                <w:szCs w:val="18"/>
                <w:color w:val="auto"/>
                <w:highlight w:val="white"/>
              </w:rPr>
              <w:t>IX.</w:t>
            </w:r>
            <w:r>
              <w:rPr>
                <w:rFonts w:ascii="Times New Roman" w:cs="Times New Roman" w:eastAsia="Times New Roman" w:hAnsi="Times New Roman"/>
                <w:sz w:val="18"/>
                <w:szCs w:val="18"/>
                <w:i w:val="1"/>
                <w:iCs w:val="1"/>
                <w:color w:val="auto"/>
                <w:highlight w:val="white"/>
              </w:rPr>
              <w:t xml:space="preserve"> NOTICES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9.1. General</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9.2. Waivers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9.3. Attendance as Waiver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9.4. Omission of Notice to Stockholders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highlight w:val="white"/>
              </w:rPr>
              <w:t xml:space="preserve">ARTICLE </w:t>
            </w:r>
            <w:r>
              <w:rPr>
                <w:rFonts w:ascii="Times New Roman" w:cs="Times New Roman" w:eastAsia="Times New Roman" w:hAnsi="Times New Roman"/>
                <w:sz w:val="18"/>
                <w:szCs w:val="18"/>
                <w:color w:val="auto"/>
                <w:highlight w:val="white"/>
              </w:rPr>
              <w:t>X.</w:t>
            </w:r>
            <w:r>
              <w:rPr>
                <w:rFonts w:ascii="Times New Roman" w:cs="Times New Roman" w:eastAsia="Times New Roman" w:hAnsi="Times New Roman"/>
                <w:sz w:val="18"/>
                <w:szCs w:val="18"/>
                <w:i w:val="1"/>
                <w:iCs w:val="1"/>
                <w:color w:val="auto"/>
                <w:highlight w:val="white"/>
              </w:rPr>
              <w:t xml:space="preserve"> FORUM SELECTION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10.1. Delaware Forum</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10.2. Securities Act Claims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10.3. Notice and Consent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6"/>
        </w:trPr>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Section 10.4. Injunctive Relief</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-4114165</wp:posOffset>
            </wp:positionV>
            <wp:extent cx="5452110" cy="4114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NLI HOLDINGS, INC.</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(Adopted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151765</wp:posOffset>
            </wp:positionV>
            <wp:extent cx="54521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REGISTERED AGENT AND OFFICES</w:t>
      </w:r>
    </w:p>
    <w:p>
      <w:pPr>
        <w:spacing w:after="0" w:line="203"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i w:val="1"/>
          <w:iCs w:val="1"/>
          <w:color w:val="auto"/>
        </w:rPr>
        <w:t>Registered Agent and Office</w:t>
      </w:r>
      <w:r>
        <w:rPr>
          <w:rFonts w:ascii="Times New Roman" w:cs="Times New Roman" w:eastAsia="Times New Roman" w:hAnsi="Times New Roman"/>
          <w:sz w:val="18"/>
          <w:szCs w:val="18"/>
          <w:color w:val="auto"/>
        </w:rPr>
        <w:t>. The registered agent and office of the corporation shall be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entity and located at such place within the state of Delaware as the board of directors may from time to time determine.</w:t>
      </w:r>
    </w:p>
    <w:p>
      <w:pPr>
        <w:spacing w:after="0" w:line="171"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i w:val="1"/>
          <w:iCs w:val="1"/>
          <w:color w:val="auto"/>
        </w:rPr>
        <w:t>Other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also have offices at such other places, both within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state of Delaware, as the corporation’s board of directors may from time to time determine or the business of the corporation may require.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MEETINGS OF STOCKHOLDERS</w:t>
      </w:r>
    </w:p>
    <w:p>
      <w:pPr>
        <w:spacing w:after="0" w:line="203"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i w:val="1"/>
          <w:iCs w:val="1"/>
          <w:color w:val="auto"/>
        </w:rPr>
        <w:t>Place and Time of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meetings of stockholders shall be held on such date,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place, if any, either within or‎ without the State of Delaware, as may be designated by resolution from time to time</w:t>
      </w:r>
    </w:p>
    <w:p>
      <w:pPr>
        <w:spacing w:after="0" w:line="1"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8"/>
          <w:szCs w:val="18"/>
          <w:color w:val="auto"/>
        </w:rPr>
        <w:t xml:space="preserve">by the board‎ of directors and stated in the notice of the meeting or a duly executed waiver thereof, at which the stockholders shall elect by‎ a plurality vote a board of directors and shall transact such other business as may properly be ‎brought before the meeting.‎The chair of the board, the president, the chief executive officer, the board of directors or the holders of at least 10 percent of the shares of the corporation that would be entitled to vote at such a meeting may call special meetings of stockholders. If a special meeting is called by any person or persons other than the board of directors, the request shall be in writing, specifying the nature of the business proposed to be transacted, and in the case of a special meeting called by one or more stockholders shall be accompanied by a notice setting forth the information, representations and other materials required for a stockholder proposal to be brought before an annual meeting under </w:t>
      </w:r>
      <w:r>
        <w:rPr>
          <w:rFonts w:ascii="Times New Roman" w:cs="Times New Roman" w:eastAsia="Times New Roman" w:hAnsi="Times New Roman"/>
          <w:sz w:val="18"/>
          <w:szCs w:val="18"/>
          <w:b w:val="1"/>
          <w:bCs w:val="1"/>
          <w:color w:val="auto"/>
        </w:rPr>
        <w:t>Section 2.2</w:t>
      </w:r>
      <w:r>
        <w:rPr>
          <w:rFonts w:ascii="Times New Roman" w:cs="Times New Roman" w:eastAsia="Times New Roman" w:hAnsi="Times New Roman"/>
          <w:sz w:val="18"/>
          <w:szCs w:val="18"/>
          <w:color w:val="auto"/>
        </w:rPr>
        <w:t xml:space="preserve"> of these bylaws or required for a director nomination under </w:t>
      </w:r>
      <w:r>
        <w:rPr>
          <w:rFonts w:ascii="Times New Roman" w:cs="Times New Roman" w:eastAsia="Times New Roman" w:hAnsi="Times New Roman"/>
          <w:sz w:val="18"/>
          <w:szCs w:val="18"/>
          <w:b w:val="1"/>
          <w:bCs w:val="1"/>
          <w:color w:val="auto"/>
        </w:rPr>
        <w:t>Section 3.2</w:t>
      </w:r>
      <w:r>
        <w:rPr>
          <w:rFonts w:ascii="Times New Roman" w:cs="Times New Roman" w:eastAsia="Times New Roman" w:hAnsi="Times New Roman"/>
          <w:sz w:val="18"/>
          <w:szCs w:val="18"/>
          <w:color w:val="auto"/>
        </w:rPr>
        <w:t xml:space="preserve"> of these bylaws, as applicable, as to any business proposed to be conducted or nominations proposed to be presented at such special meeting, which shall be delivered personally or sent by registered mail to the chair of the board, the president, the chief executive officer or the secretary of the corporation. A special meeting called in accordance with these bylaws shall be held at such date, time and place, if any, within or without the state of Delaware as may be designated by the board of directors and stated in the notice of the meeting or a duly executed waiver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a special meeting called by one or more stockholders who satisfy the requirements of these bylaws, the date of any such special meeting shall be not more than ninety (90) days after the request to call the special meeting by such stockholder or stockholders is received by the secretary. Nothing contained in this section shall be construed as limiting, fixing, or affecting the time when a meeting of stockholders called by action of the board of directors may be held. The board of directors may determine, in its sole discretion, that any meeting will not be held at ‎a place, but may instead be held solely by means of remote communication as provided under ‎the Delaware General Corporation law.</w:t>
      </w:r>
    </w:p>
    <w:p>
      <w:pPr>
        <w:spacing w:after="0" w:line="18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i w:val="1"/>
          <w:iCs w:val="1"/>
          <w:color w:val="auto"/>
        </w:rPr>
        <w:t>Business to be Transacted at Meetings</w:t>
      </w:r>
      <w:r>
        <w:rPr>
          <w:rFonts w:ascii="Times New Roman" w:cs="Times New Roman" w:eastAsia="Times New Roman" w:hAnsi="Times New Roman"/>
          <w:sz w:val="18"/>
          <w:szCs w:val="18"/>
          <w:color w:val="auto"/>
        </w:rPr>
        <w:t>. At a meeting of the stockholders, only such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be conducted as shall have been properly brought before the meeting. To be properly brought before a special meeting, business must be specified in the notice of the meeting (or any supplement thereto). To be properly brought before an annual meeting, business must be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specified in the notice of the meeting (or any supplement thereto) given by or at the direction of the board of directors,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otherwise properly brought before the meeting by or at the direction of the board of directors or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otherwise properly brought before the meeting by a stockholder. For business to be properly brought before an annual meeting by a stockholder (other than a nomination of a person for election as a director, which is governed by </w:t>
      </w:r>
      <w:r>
        <w:rPr>
          <w:rFonts w:ascii="Times New Roman" w:cs="Times New Roman" w:eastAsia="Times New Roman" w:hAnsi="Times New Roman"/>
          <w:sz w:val="18"/>
          <w:szCs w:val="18"/>
          <w:b w:val="1"/>
          <w:bCs w:val="1"/>
          <w:color w:val="auto"/>
        </w:rPr>
        <w:t>Section 3.2</w:t>
      </w:r>
      <w:r>
        <w:rPr>
          <w:rFonts w:ascii="Times New Roman" w:cs="Times New Roman" w:eastAsia="Times New Roman" w:hAnsi="Times New Roman"/>
          <w:sz w:val="18"/>
          <w:szCs w:val="18"/>
          <w:color w:val="auto"/>
        </w:rPr>
        <w:t xml:space="preserve"> of these bylaws), the stockholder intending to propose the business (for purposes of this section, the “proponent”) must, in addition to any requirements imposed by federal securities law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399415</wp:posOffset>
            </wp:positionV>
            <wp:extent cx="545211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 w:name="page18"/>
    <w:bookmarkEnd w:id="17"/>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 xml:space="preserve">other applicable laws, have given timely notice thereof in proper written form to the secretary of the corporation. To be timely for an annual meeting, a stockholder’s notice must be delivered to or mailed and received at the principal executive offices of the corporation not less than one hundred twenty (120) days nor more than one hundred fifty (150) days in advance of the anniversary of the previous year's annual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annual meeting is called for a date that is not within thirty (30) days before or after such anniversary date, notice by the stockholder in order to be timely must be so received no later than the close of business on the tenth (10th) day following the date on which such notice of the date of the annual meeting was mailed or the public disclosure of the date of the annual meeting was made, whichever first occurs. In no event shall the adjournment or postponement of the annual meeting, or the public announcement of such an adjournment or postponement, commence a new time period (or extend any time period) for the giving of a stockholder's notice as described above. For purposes of these bylaws, public disclosure shall be deemed to include a disclosure made in a press release reported by a national news service or in a document filed by the corporation with the Securities and Exchange Commission pursuant to Section 13, 14 or 15(d) of the Exchange Act. To be in proper written form, a proponent's notice to the secretary must set forth:</w:t>
      </w:r>
    </w:p>
    <w:p>
      <w:pPr>
        <w:spacing w:after="0" w:line="187" w:lineRule="exact"/>
        <w:rPr>
          <w:sz w:val="20"/>
          <w:szCs w:val="20"/>
          <w:color w:val="auto"/>
        </w:rPr>
      </w:pPr>
    </w:p>
    <w:p>
      <w:pPr>
        <w:jc w:val="both"/>
        <w:ind w:left="200" w:right="219" w:firstLine="657"/>
        <w:spacing w:after="0" w:line="261" w:lineRule="auto"/>
        <w:tabs>
          <w:tab w:leader="none" w:pos="149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to each matter the proponent proposes to bring before the annual meeting, a brief description of the business desired to be brought before the annual meeting (including the text of any resolutions proposed for consideration and, if such business includes a proposal to amend the bylaws, the text of the proposed amendment) and the reasons for conducting such business at the annual meeting, and</w:t>
      </w:r>
    </w:p>
    <w:p>
      <w:pPr>
        <w:spacing w:after="0" w:line="179" w:lineRule="exact"/>
        <w:rPr>
          <w:rFonts w:ascii="Times New Roman" w:cs="Times New Roman" w:eastAsia="Times New Roman" w:hAnsi="Times New Roman"/>
          <w:sz w:val="18"/>
          <w:szCs w:val="18"/>
          <w:b w:val="1"/>
          <w:bCs w:val="1"/>
          <w:color w:val="auto"/>
        </w:rPr>
      </w:pPr>
    </w:p>
    <w:p>
      <w:pPr>
        <w:ind w:left="1500" w:hanging="643"/>
        <w:spacing w:after="0"/>
        <w:tabs>
          <w:tab w:leader="none" w:pos="1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to the proponent and the beneficial owner, if any, on whose behalf the proposal is being made,</w:t>
      </w:r>
    </w:p>
    <w:p>
      <w:pPr>
        <w:spacing w:after="0" w:line="225" w:lineRule="exact"/>
        <w:rPr>
          <w:rFonts w:ascii="Times New Roman" w:cs="Times New Roman" w:eastAsia="Times New Roman" w:hAnsi="Times New Roman"/>
          <w:sz w:val="18"/>
          <w:szCs w:val="18"/>
          <w:b w:val="1"/>
          <w:bCs w:val="1"/>
          <w:color w:val="auto"/>
        </w:rPr>
      </w:pPr>
    </w:p>
    <w:p>
      <w:pPr>
        <w:ind w:left="860" w:right="219" w:firstLine="645"/>
        <w:spacing w:after="0" w:line="261" w:lineRule="auto"/>
        <w:tabs>
          <w:tab w:leader="none" w:pos="1808"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name and address of each such person, and of any holder of record of the proponent's shares as they appear on the corporation's books,</w:t>
      </w:r>
    </w:p>
    <w:p>
      <w:pPr>
        <w:jc w:val="both"/>
        <w:ind w:left="860" w:right="219" w:firstLine="645"/>
        <w:spacing w:after="0" w:line="250" w:lineRule="auto"/>
        <w:tabs>
          <w:tab w:leader="none" w:pos="1794"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class and number of all shares of capital stock of the corporation that are owned by each such person (beneficially and of record) and owned by any holder of record of each such person's shares, as of the date of the proponent's notice, and a representation that the proponent will notify the corporation in writing of the class and number of such shares owned of record and beneficially by each such person as of the record date for the meeting not later than five (5) business days following the record date for determining the stockholders entitled to vote at the meeting,</w:t>
      </w:r>
    </w:p>
    <w:p>
      <w:pPr>
        <w:spacing w:after="0" w:line="2" w:lineRule="exact"/>
        <w:rPr>
          <w:rFonts w:ascii="Times New Roman" w:cs="Times New Roman" w:eastAsia="Times New Roman" w:hAnsi="Times New Roman"/>
          <w:sz w:val="18"/>
          <w:szCs w:val="18"/>
          <w:b w:val="1"/>
          <w:bCs w:val="1"/>
          <w:color w:val="auto"/>
        </w:rPr>
      </w:pPr>
    </w:p>
    <w:p>
      <w:pPr>
        <w:ind w:left="860" w:right="239" w:firstLine="645"/>
        <w:spacing w:after="0" w:line="250" w:lineRule="auto"/>
        <w:tabs>
          <w:tab w:leader="none" w:pos="1813"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material interest of each such person, or any affiliates or associates of each such person, in such business,</w:t>
      </w:r>
    </w:p>
    <w:p>
      <w:pPr>
        <w:jc w:val="both"/>
        <w:ind w:left="860" w:right="219" w:firstLine="645"/>
        <w:spacing w:after="0" w:line="250" w:lineRule="auto"/>
        <w:tabs>
          <w:tab w:leader="none" w:pos="1833"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description of any agreement, arrangement or understanding with respect to such business between or among each such person and any of its affiliates or associates, and any others (including their names) acting in concert with any of the foregoing, and a representation that the proponent will notify the corporation in writing of any such agreement, arrangement or understanding in effect as of such record date for the meeting not later than five (5) business days following such record date,</w:t>
      </w:r>
    </w:p>
    <w:p>
      <w:pPr>
        <w:spacing w:after="0" w:line="1" w:lineRule="exact"/>
        <w:rPr>
          <w:rFonts w:ascii="Times New Roman" w:cs="Times New Roman" w:eastAsia="Times New Roman" w:hAnsi="Times New Roman"/>
          <w:sz w:val="18"/>
          <w:szCs w:val="18"/>
          <w:b w:val="1"/>
          <w:bCs w:val="1"/>
          <w:color w:val="auto"/>
        </w:rPr>
      </w:pPr>
    </w:p>
    <w:p>
      <w:pPr>
        <w:jc w:val="both"/>
        <w:ind w:left="860" w:right="219" w:firstLine="645"/>
        <w:spacing w:after="0" w:line="250" w:lineRule="auto"/>
        <w:tabs>
          <w:tab w:leader="none" w:pos="1855"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description of any agreement, arrangement or understanding (including any derivative instruments, swaps, warrants, short positions, profit interests, options, hedging transactions, borrowed or loaned shares or other transactions) that has been entered into as of the date of the proponent's notice by, or on behalf of, each such person or any of its affiliates or associates, the effect or intent of which is to mitigate loss to, manage risk or benefit of share price changes for, or increase or decrease the voting power of each such person or any of its affiliates or associates with respect to shares of stock of the corporation, and a representation that the proponent will notify the corporation in writing of any such agreement, arrangement or understanding in effect as of such record date for the meeting not later than five (5) business days following such record date,</w:t>
      </w:r>
    </w:p>
    <w:p>
      <w:pPr>
        <w:spacing w:after="0" w:line="3" w:lineRule="exact"/>
        <w:rPr>
          <w:rFonts w:ascii="Times New Roman" w:cs="Times New Roman" w:eastAsia="Times New Roman" w:hAnsi="Times New Roman"/>
          <w:sz w:val="18"/>
          <w:szCs w:val="18"/>
          <w:b w:val="1"/>
          <w:bCs w:val="1"/>
          <w:color w:val="auto"/>
        </w:rPr>
      </w:pPr>
    </w:p>
    <w:p>
      <w:pPr>
        <w:jc w:val="both"/>
        <w:ind w:left="860" w:right="219" w:firstLine="645"/>
        <w:spacing w:after="0" w:line="250" w:lineRule="auto"/>
        <w:tabs>
          <w:tab w:leader="none" w:pos="1808"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representation that the proponent is a holder of record or beneficial owner of shares of the corporation entitled to vote at the annual meeting and intends to appear in person or by proxy at the meeting to propose such business,</w:t>
      </w:r>
    </w:p>
    <w:p>
      <w:pPr>
        <w:spacing w:after="0" w:line="1" w:lineRule="exact"/>
        <w:rPr>
          <w:rFonts w:ascii="Times New Roman" w:cs="Times New Roman" w:eastAsia="Times New Roman" w:hAnsi="Times New Roman"/>
          <w:sz w:val="18"/>
          <w:szCs w:val="18"/>
          <w:b w:val="1"/>
          <w:bCs w:val="1"/>
          <w:color w:val="auto"/>
        </w:rPr>
      </w:pPr>
    </w:p>
    <w:p>
      <w:pPr>
        <w:jc w:val="both"/>
        <w:ind w:left="860" w:right="219" w:firstLine="645"/>
        <w:spacing w:after="0" w:line="250" w:lineRule="auto"/>
        <w:tabs>
          <w:tab w:leader="none" w:pos="1813"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representation whether the proponent intends to deliver a proxy statement and/or form of proxy to holders of at least the percentage of the corporation's outstanding shares required to approve the proposal and/or otherwise to solicit proxies from stockholders in support of the proposal, and</w:t>
      </w:r>
    </w:p>
    <w:p>
      <w:pPr>
        <w:spacing w:after="0" w:line="1" w:lineRule="exact"/>
        <w:rPr>
          <w:rFonts w:ascii="Times New Roman" w:cs="Times New Roman" w:eastAsia="Times New Roman" w:hAnsi="Times New Roman"/>
          <w:sz w:val="18"/>
          <w:szCs w:val="18"/>
          <w:b w:val="1"/>
          <w:bCs w:val="1"/>
          <w:color w:val="auto"/>
        </w:rPr>
      </w:pPr>
    </w:p>
    <w:p>
      <w:pPr>
        <w:jc w:val="both"/>
        <w:ind w:left="860" w:right="219" w:firstLine="645"/>
        <w:spacing w:after="0" w:line="253" w:lineRule="auto"/>
        <w:tabs>
          <w:tab w:leader="none" w:pos="1829"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information relating to each such person that would be required to be disclosed in a proxy statement or other filing required to be made in connection with the solicitation of proxies by each such person with respect to the proposed business to be brought by each such person before the annual meeting pursuant to Section 14 of the Exchange Act, and the rules and regulations promulgated thereunder.</w:t>
      </w:r>
    </w:p>
    <w:p>
      <w:pPr>
        <w:sectPr>
          <w:pgSz w:w="11900" w:h="16838" w:orient="portrait"/>
          <w:cols w:equalWidth="0" w:num="1">
            <w:col w:w="9019"/>
          </w:cols>
          <w:pgMar w:left="1440" w:top="8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18" w:name="page19"/>
    <w:bookmarkEnd w:id="18"/>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in these bylaws to the contrary: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no business shall be conducted at any annual meeting except in accordance with the procedures set forth in this </w:t>
      </w:r>
      <w:r>
        <w:rPr>
          <w:rFonts w:ascii="Times New Roman" w:cs="Times New Roman" w:eastAsia="Times New Roman" w:hAnsi="Times New Roman"/>
          <w:sz w:val="18"/>
          <w:szCs w:val="18"/>
          <w:b w:val="1"/>
          <w:bCs w:val="1"/>
          <w:color w:val="auto"/>
        </w:rPr>
        <w:t>Section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unless otherwise required by law, if a proponent intending to propose business at an annual meeting pursuant to this </w:t>
      </w:r>
      <w:r>
        <w:rPr>
          <w:rFonts w:ascii="Times New Roman" w:cs="Times New Roman" w:eastAsia="Times New Roman" w:hAnsi="Times New Roman"/>
          <w:sz w:val="18"/>
          <w:szCs w:val="18"/>
          <w:b w:val="1"/>
          <w:bCs w:val="1"/>
          <w:color w:val="auto"/>
        </w:rPr>
        <w:t>Section 2.2</w:t>
      </w:r>
      <w:r>
        <w:rPr>
          <w:rFonts w:ascii="Times New Roman" w:cs="Times New Roman" w:eastAsia="Times New Roman" w:hAnsi="Times New Roman"/>
          <w:sz w:val="18"/>
          <w:szCs w:val="18"/>
          <w:color w:val="auto"/>
        </w:rPr>
        <w:t xml:space="preserve"> does not provide the information required under such section to the corporation (including providing the updated information required by clauses (ii)(B), (ii)(D) and (ii)(E) of this section by the deadlines specified therein), or the proponent (or a qualified representative of the proponent) does not appear at the meeting to present the proposed business, such business shall not be transacted, notwithstanding that proxies in respect of such business may have been received by the corporation. The chair of the annual meeting (or the board of directors in advance of any such meeting) shall, if the facts warrant, determine and declare to the meeting that business was not properly brought before the meeting in accordance with the provisions of this </w:t>
      </w:r>
      <w:r>
        <w:rPr>
          <w:rFonts w:ascii="Times New Roman" w:cs="Times New Roman" w:eastAsia="Times New Roman" w:hAnsi="Times New Roman"/>
          <w:sz w:val="18"/>
          <w:szCs w:val="18"/>
          <w:b w:val="1"/>
          <w:bCs w:val="1"/>
          <w:color w:val="auto"/>
        </w:rPr>
        <w:t>Section 2.2</w:t>
      </w:r>
      <w:r>
        <w:rPr>
          <w:rFonts w:ascii="Times New Roman" w:cs="Times New Roman" w:eastAsia="Times New Roman" w:hAnsi="Times New Roman"/>
          <w:sz w:val="18"/>
          <w:szCs w:val="18"/>
          <w:color w:val="auto"/>
        </w:rPr>
        <w:t xml:space="preserve">, and if he or she (or the board of directors in advance of any such meeting) should so determine, he or she shall so declare to (or the board of directors shall declare in advance of) the meeting and any such business not properly brought before the meeting shall not be transacted. Nothing contained in this </w:t>
      </w:r>
      <w:r>
        <w:rPr>
          <w:rFonts w:ascii="Times New Roman" w:cs="Times New Roman" w:eastAsia="Times New Roman" w:hAnsi="Times New Roman"/>
          <w:sz w:val="18"/>
          <w:szCs w:val="18"/>
          <w:b w:val="1"/>
          <w:bCs w:val="1"/>
          <w:color w:val="auto"/>
        </w:rPr>
        <w:t>Section 2.2</w:t>
      </w:r>
      <w:r>
        <w:rPr>
          <w:rFonts w:ascii="Times New Roman" w:cs="Times New Roman" w:eastAsia="Times New Roman" w:hAnsi="Times New Roman"/>
          <w:sz w:val="18"/>
          <w:szCs w:val="18"/>
          <w:color w:val="auto"/>
        </w:rPr>
        <w:t xml:space="preserve"> shall be deemed to affect any rights of stockholders to request inclusion of proposals in the corporation's proxy statement pursuant to Rule 14a-8 promulgated under the Exchange Act (or any successor provision of law).</w:t>
      </w:r>
    </w:p>
    <w:p>
      <w:pPr>
        <w:spacing w:after="0" w:line="185"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the time, place (if any) and means of remote communication of an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and notice of the time, place (if any), means of remote communication and purpose or purposes of a special meeting of the stockholders shall be given not less than 10, nor more than 60, days prior to the meeting to each stockholder of record of the corporation entitled to vote at such meeting. If mailed, such notice shall be deemed to be delivered when deposited in the United States mail, postage paid, addressed to the stockholder’s address appearing on the corporate books of the corporation.</w:t>
      </w:r>
    </w:p>
    <w:p>
      <w:pPr>
        <w:spacing w:after="0" w:line="182"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Section 2.4. </w:t>
      </w:r>
      <w:r>
        <w:rPr>
          <w:rFonts w:ascii="Times New Roman" w:cs="Times New Roman" w:eastAsia="Times New Roman" w:hAnsi="Times New Roman"/>
          <w:sz w:val="17"/>
          <w:szCs w:val="17"/>
          <w:b w:val="1"/>
          <w:bCs w:val="1"/>
          <w:i w:val="1"/>
          <w:iCs w:val="1"/>
          <w:color w:val="auto"/>
        </w:rPr>
        <w:t>Notice by Electronic Transmission.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limiting the manner by which notice otherwise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be given effectively to stockholders, any notice to stockholders given by the corporation under any applicable law, the certificate of incorporation or these bylaws shall be effective if given by a form of electronic transmission consented to by the stockholder to whom the notice is given. Any such consent shall be revocable by the stockholder by written notice to the corporation. Notice by electronic transmission shall be deemed given: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if by facsimile telecommunication, when directed to a number at which the stockholder has consented to receive notice;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if by electronic mail, when directed to an electronic mail address at which the stockholder has consented to receive notice;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if by a posting on an electronic network together with separate notice to the stockholder of such specific posting, upon the later of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such posting and</w:t>
      </w:r>
    </w:p>
    <w:p>
      <w:pPr>
        <w:spacing w:after="0" w:line="4" w:lineRule="exact"/>
        <w:rPr>
          <w:sz w:val="20"/>
          <w:szCs w:val="20"/>
          <w:color w:val="auto"/>
        </w:rPr>
      </w:pPr>
    </w:p>
    <w:p>
      <w:pPr>
        <w:ind w:left="200" w:right="219" w:firstLine="9"/>
        <w:spacing w:after="0" w:line="260" w:lineRule="auto"/>
        <w:tabs>
          <w:tab w:leader="none" w:pos="48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giving of such separate notice; and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if by any other form of electronic transmission, when directed to the stockholder.</w:t>
      </w:r>
    </w:p>
    <w:p>
      <w:pPr>
        <w:spacing w:after="0" w:line="177"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i w:val="1"/>
          <w:iCs w:val="1"/>
          <w:color w:val="auto"/>
        </w:rPr>
        <w:t>List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prepare, at least 10 days before every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a complete list of the stockholders entitled to vote at such meeting arranged in alphabetical order, specifying the address of and the number of shares registered in the name of each stockholder. Such list shall be open to the examination of any stockholder, for any purpose germane to the meeting, for a period of at least 10 days ending on the day prior to the meeting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on a reasonably accessible electronic network, provided that the information required to gain access to such list is provided with the notice of meeting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during ordinary business hours, at the principal place of business of the corporation. The original stock transfer books shall be the only evidence as to who are the stockholders entitled to examine such list or transfer book or to vote at any such meeting of stockholders.</w:t>
      </w:r>
    </w:p>
    <w:p>
      <w:pPr>
        <w:spacing w:after="0" w:line="185" w:lineRule="exact"/>
        <w:rPr>
          <w:sz w:val="20"/>
          <w:szCs w:val="20"/>
          <w:color w:val="auto"/>
        </w:rPr>
      </w:pPr>
    </w:p>
    <w:p>
      <w:pPr>
        <w:jc w:val="both"/>
        <w:ind w:left="200" w:right="17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i w:val="1"/>
          <w:iCs w:val="1"/>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a majority of the votes entitled to be cast at any meeting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counted as a single class if there be more than one class of stock entitled to vote at such meeting, present in person or represented by proxy, shall constitute a quorum at all meetings of the stockholders except as otherwise provided by statute or by the certificate of incorporation. Where a separate vote by class or series is required, the presence in person or by proxy of the holders of a majority in voting power of the outstanding shares of such class or series shall be necessary and sufficient to constitute a quorum with respect to that matter. Once a quorum is present at a meeting of the stockholders, the stockholders represented in person or by proxy at the meeting may conduct such business as may be properly brought before the meeting until it is adjourned, and the subsequent withdrawal from the meeting by any stockholder or the refusal of any stockholder represented in person or by proxy to vote shall not affect the presence of a quorum at the meeting. If a quorum is not present or represented at any meeting of the stockholders,­ the chair of the meeting or the stockholders entitled to vote thereat, present in person or represented by proxy, shall have power to adjourn the meeting from time to time in the manner provided in </w:t>
      </w:r>
      <w:r>
        <w:rPr>
          <w:rFonts w:ascii="Times New Roman" w:cs="Times New Roman" w:eastAsia="Times New Roman" w:hAnsi="Times New Roman"/>
          <w:sz w:val="18"/>
          <w:szCs w:val="18"/>
          <w:b w:val="1"/>
          <w:bCs w:val="1"/>
          <w:color w:val="auto"/>
        </w:rPr>
        <w:t>Section 2.7</w:t>
      </w:r>
      <w:r>
        <w:rPr>
          <w:rFonts w:ascii="Times New Roman" w:cs="Times New Roman" w:eastAsia="Times New Roman" w:hAnsi="Times New Roman"/>
          <w:sz w:val="18"/>
          <w:szCs w:val="18"/>
          <w:color w:val="auto"/>
        </w:rPr>
        <w:t xml:space="preserve"> until a quorum shall be present or repre-­ sented.</w:t>
      </w:r>
    </w:p>
    <w:p>
      <w:pPr>
        <w:sectPr>
          <w:pgSz w:w="11900" w:h="16838" w:orient="portrait"/>
          <w:cols w:equalWidth="0" w:num="1">
            <w:col w:w="9019"/>
          </w:cols>
          <w:pgMar w:left="1440" w:top="8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type w:val="continuous"/>
        </w:sectPr>
      </w:pPr>
    </w:p>
    <w:bookmarkStart w:id="19" w:name="page20"/>
    <w:bookmarkEnd w:id="19"/>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i w:val="1"/>
          <w:iCs w:val="1"/>
          <w:color w:val="auto"/>
        </w:rPr>
        <w:t>Adjournment.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a meeting of stockholders is adjourned to another time or place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adjournment taken to address a technical failure to convene or continue a meeting using remote communication), notice need not be given of the adjourned meeting, except as otherwise required by this </w:t>
      </w:r>
      <w:r>
        <w:rPr>
          <w:rFonts w:ascii="Times New Roman" w:cs="Times New Roman" w:eastAsia="Times New Roman" w:hAnsi="Times New Roman"/>
          <w:sz w:val="18"/>
          <w:szCs w:val="18"/>
          <w:b w:val="1"/>
          <w:bCs w:val="1"/>
          <w:color w:val="auto"/>
        </w:rPr>
        <w:t>Section 2.7</w:t>
      </w:r>
      <w:r>
        <w:rPr>
          <w:rFonts w:ascii="Times New Roman" w:cs="Times New Roman" w:eastAsia="Times New Roman" w:hAnsi="Times New Roman"/>
          <w:sz w:val="18"/>
          <w:szCs w:val="18"/>
          <w:color w:val="auto"/>
        </w:rPr>
        <w:t xml:space="preserve">, if the time, place, if any, thereof, and the means of remote communication, if any, by which stockholders and proxy holders may be deemed to be present in person and vote at such adjourned meeting are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announced at the meeting at which the adjournment is taken,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displayed, during the time scheduled for the meeting, on the same electronic network used to enable stockholders and proxy holders to participate in the meeting by means of remote communication or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set forth in the original notice of the meeting. At such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the adjourned meeting as of the record date so fixed for notice of such adjourned meeting.</w:t>
      </w:r>
    </w:p>
    <w:p>
      <w:pPr>
        <w:spacing w:after="0" w:line="183"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i w:val="1"/>
          <w:iCs w:val="1"/>
          <w:color w:val="auto"/>
        </w:rPr>
        <w:t>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a quorum is present at any meeting, the affirmative vote of the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in voting­ power of the shares of capital stock of the corporation which are present in person or represented by proxy and entitled to vote thereon shall decide any question brought before such meeting, unless the question is one upon which by express provision of any applicable statute, the certificate of incorporation, these bylaws, the rules or regulations of any stock exchange applicable to the corporation, or any law or regulation applicable to the corporation or its securities, a different vote is required, in which case such express provision shall govern and control the decision of such question.</w:t>
      </w:r>
    </w:p>
    <w:p>
      <w:pPr>
        <w:spacing w:after="0" w:line="183"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i w:val="1"/>
          <w:iCs w:val="1"/>
          <w:color w:val="auto"/>
        </w:rPr>
        <w:t>Proxies.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stockholder entitled to vote at a meeting of stockholders or to express consent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dissent to corporate action in writing without a meeting may authorize another person or persons to act for him by proxy in any manner permitted by law. No proxy shall be valid after three years from the date of its execution unless otherwise provided in the proxy. Each proxy shall be revocable unless the proxy form conspicuously states that the proxy is irrevocable and the proxy is coupled with an interest.</w:t>
      </w:r>
    </w:p>
    <w:p>
      <w:pPr>
        <w:spacing w:after="0" w:line="17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i w:val="1"/>
          <w:iCs w:val="1"/>
          <w:color w:val="auto"/>
        </w:rPr>
        <w:t>Order of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order of business at each such stockholders meeting shall be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chair of the meeting. One of the following persons, in the order in which they are listed (and in the absence of the first, the next, and so on), shall serve as chair of the meeting: the chair of the board, vice chair of the board, president, the chief executive officer, vice presidents (in the order of their seniority if more than one) and secretary. The chair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corporation, restrictions on entry to such meeting after the time prescribed for the commencement thereof, and the opening and closing of the voting polls.</w:t>
      </w:r>
    </w:p>
    <w:p>
      <w:pPr>
        <w:spacing w:after="0" w:line="188"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i w:val="1"/>
          <w:iCs w:val="1"/>
          <w:color w:val="auto"/>
        </w:rPr>
        <w:t>Appointment of Inspectors of 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shall appoint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inspectors of election (“inspectors”) to act at such meeting or any adjournment or postponement thereof and make a written report thereof. The board of directors may designate one or more persons as alternate inspectors to replace any inspector who fails to act. If no inspector or alternate is so appointed or if no inspector or alternate is able to act, the chair of the board, the vice chair of the board, the president or the chief executive officer shall appoint one or more inspectors to act at such meeting. Each inspector, before entering upon the discharge of his or her duties, shall take and sign an oath faithfully to execute the duties of inspector with strict impartiality and according to the best of his or her ability. The inspectors may be directors, officers or employees of the corporation.</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i w:val="1"/>
          <w:iCs w:val="1"/>
          <w:color w:val="auto"/>
        </w:rPr>
        <w:t>Action Without a Meeting.</w:t>
      </w:r>
    </w:p>
    <w:p>
      <w:pPr>
        <w:spacing w:after="0" w:line="229" w:lineRule="exact"/>
        <w:rPr>
          <w:sz w:val="20"/>
          <w:szCs w:val="20"/>
          <w:color w:val="auto"/>
        </w:rPr>
      </w:pPr>
    </w:p>
    <w:p>
      <w:pPr>
        <w:jc w:val="both"/>
        <w:ind w:left="860" w:right="219" w:firstLine="645"/>
        <w:spacing w:after="0" w:line="258" w:lineRule="auto"/>
        <w:tabs>
          <w:tab w:leader="none" w:pos="215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action required or permitted to be taken at a meeting of the stockholders, may be taken without a meeting, without prior notice, and without a vote, if a consent or consents in writing, setting forth the action so taken, shall be signed by the holder or holders of shares having not less than the minimum number of votes that would be necessary to take such action at a meeting at which the holders of all shares entitled to vote on the action were present and voted.</w:t>
      </w:r>
    </w:p>
    <w:p>
      <w:pPr>
        <w:sectPr>
          <w:pgSz w:w="11900" w:h="16838" w:orient="portrait"/>
          <w:cols w:equalWidth="0" w:num="1">
            <w:col w:w="9019"/>
          </w:cols>
          <w:pgMar w:left="1440" w:top="8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type w:val="continuous"/>
        </w:sectPr>
      </w:pPr>
    </w:p>
    <w:bookmarkStart w:id="20" w:name="page21"/>
    <w:bookmarkEnd w:id="20"/>
    <w:p>
      <w:pPr>
        <w:jc w:val="both"/>
        <w:ind w:left="860" w:right="219" w:firstLine="645"/>
        <w:spacing w:after="0" w:line="253" w:lineRule="auto"/>
        <w:tabs>
          <w:tab w:leader="none" w:pos="215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Every written consent of the stockholders shall bear the date of signature of each stockholder who signs the consent. No written consent shall be effective to take the action that is the subject of the consent unless, within 60 days after the date of the earliest dated consent delivered to the corporation as provided below, a consent or consents signed by the holder or holders of shares having not less than the minimum number of votes that would be necessary to take the action that is the subject of the consent are delivered to the corporation by delivery to its registered office, its principal place of business, or an officer or agent of the corporation having custody of the books in which proceedings of meetings of the stockholders are recorded. Such delivery shall be made by hand or by certified or registered mail, return receipt requested, and in the case of delivery to the corporation’s principal place of business, shall be addressed to the president or chief executive officer of the corporation.</w:t>
      </w:r>
    </w:p>
    <w:p>
      <w:pPr>
        <w:spacing w:after="0" w:line="194" w:lineRule="exact"/>
        <w:rPr>
          <w:rFonts w:ascii="Times New Roman" w:cs="Times New Roman" w:eastAsia="Times New Roman" w:hAnsi="Times New Roman"/>
          <w:sz w:val="18"/>
          <w:szCs w:val="18"/>
          <w:b w:val="1"/>
          <w:bCs w:val="1"/>
          <w:color w:val="auto"/>
        </w:rPr>
      </w:pPr>
    </w:p>
    <w:p>
      <w:pPr>
        <w:jc w:val="both"/>
        <w:ind w:left="860" w:right="219" w:firstLine="645"/>
        <w:spacing w:after="0" w:line="266" w:lineRule="auto"/>
        <w:tabs>
          <w:tab w:leader="none" w:pos="215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limitation, an electronic transmission by a stockholder, or a photographic, photostatic, facsimile or other reliable reproduction of a writing signed or transmitted by a stockholder, shall be regarded as signed by the stockholder for the purposes of this section.</w:t>
      </w:r>
    </w:p>
    <w:p>
      <w:pPr>
        <w:spacing w:after="0" w:line="175" w:lineRule="exact"/>
        <w:rPr>
          <w:rFonts w:ascii="Times New Roman" w:cs="Times New Roman" w:eastAsia="Times New Roman" w:hAnsi="Times New Roman"/>
          <w:sz w:val="18"/>
          <w:szCs w:val="18"/>
          <w:b w:val="1"/>
          <w:bCs w:val="1"/>
          <w:color w:val="auto"/>
        </w:rPr>
      </w:pPr>
    </w:p>
    <w:p>
      <w:pPr>
        <w:jc w:val="both"/>
        <w:ind w:left="860" w:right="219" w:firstLine="645"/>
        <w:spacing w:after="0" w:line="258" w:lineRule="auto"/>
        <w:tabs>
          <w:tab w:leader="none" w:pos="215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 notice of the taking of any action by stockholders without a meeting by less than unanimous written consent shall be given to those stockholders who did not consent in writing to the action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7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i w:val="1"/>
          <w:iCs w:val="1"/>
          <w:color w:val="auto"/>
        </w:rPr>
        <w:t>Fixing A Record Date</w:t>
      </w:r>
      <w:r>
        <w:rPr>
          <w:rFonts w:ascii="Times New Roman" w:cs="Times New Roman" w:eastAsia="Times New Roman" w:hAnsi="Times New Roman"/>
          <w:sz w:val="18"/>
          <w:szCs w:val="18"/>
          <w:color w:val="auto"/>
        </w:rPr>
        <w:t>. In order that the corporation may determine the stockholders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With respect to corporate action in writing without a meeting, such record date shall not precede the date upon which the resolution fixing the record date is adopted by the board of directors nor more than 10 days after the date upon which the resolution fixing the record date is adopted by the board of directors. With respect to any other action, such record date shall not precede the date upon which the resolution fixing the record date is adopted nor more than 60 days prior to such action.</w:t>
      </w:r>
    </w:p>
    <w:p>
      <w:pPr>
        <w:spacing w:after="0" w:line="18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the board of directors does not so fix a record date:</w:t>
      </w:r>
    </w:p>
    <w:p>
      <w:pPr>
        <w:spacing w:after="0" w:line="225" w:lineRule="exact"/>
        <w:rPr>
          <w:sz w:val="20"/>
          <w:szCs w:val="20"/>
          <w:color w:val="auto"/>
        </w:rPr>
      </w:pPr>
    </w:p>
    <w:p>
      <w:pPr>
        <w:jc w:val="both"/>
        <w:ind w:left="860" w:right="219" w:firstLine="645"/>
        <w:spacing w:after="0" w:line="266" w:lineRule="auto"/>
        <w:tabs>
          <w:tab w:leader="none" w:pos="215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5" w:lineRule="exact"/>
        <w:rPr>
          <w:rFonts w:ascii="Times New Roman" w:cs="Times New Roman" w:eastAsia="Times New Roman" w:hAnsi="Times New Roman"/>
          <w:sz w:val="18"/>
          <w:szCs w:val="18"/>
          <w:b w:val="1"/>
          <w:bCs w:val="1"/>
          <w:color w:val="auto"/>
        </w:rPr>
      </w:pPr>
    </w:p>
    <w:p>
      <w:pPr>
        <w:jc w:val="both"/>
        <w:ind w:left="860" w:right="219" w:firstLine="645"/>
        <w:spacing w:after="0" w:line="261" w:lineRule="auto"/>
        <w:tabs>
          <w:tab w:leader="none" w:pos="215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record date for determining stockholders entitled to express consent to corporate action in writing without a meeting, when no prior action by the board of directors is required under the laws of the state of Delaware, shall be the first date on which a signed written consent is delivered to the corporation in accordance with the requirements of such law.</w:t>
      </w:r>
    </w:p>
    <w:p>
      <w:pPr>
        <w:spacing w:after="0" w:line="179" w:lineRule="exact"/>
        <w:rPr>
          <w:rFonts w:ascii="Times New Roman" w:cs="Times New Roman" w:eastAsia="Times New Roman" w:hAnsi="Times New Roman"/>
          <w:sz w:val="18"/>
          <w:szCs w:val="18"/>
          <w:b w:val="1"/>
          <w:bCs w:val="1"/>
          <w:color w:val="auto"/>
        </w:rPr>
      </w:pPr>
    </w:p>
    <w:p>
      <w:pPr>
        <w:ind w:left="860" w:right="219" w:firstLine="645"/>
        <w:spacing w:after="0" w:line="282" w:lineRule="auto"/>
        <w:tabs>
          <w:tab w:leader="none" w:pos="215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record date for determining stockholders for any other purpose shall be at the close of business on the day on which the board of directors adopts the resolution relating thereto.</w:t>
      </w:r>
    </w:p>
    <w:p>
      <w:pPr>
        <w:spacing w:after="0" w:line="162"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of directors may fix a new record date for the adjourned meeting.</w:t>
      </w:r>
    </w:p>
    <w:p>
      <w:pPr>
        <w:spacing w:after="0" w:line="172"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2.14. </w:t>
      </w:r>
      <w:r>
        <w:rPr>
          <w:rFonts w:ascii="Times New Roman" w:cs="Times New Roman" w:eastAsia="Times New Roman" w:hAnsi="Times New Roman"/>
          <w:sz w:val="18"/>
          <w:szCs w:val="18"/>
          <w:b w:val="1"/>
          <w:bCs w:val="1"/>
          <w:i w:val="1"/>
          <w:iCs w:val="1"/>
          <w:color w:val="auto"/>
        </w:rPr>
        <w:t>Remote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authorized by the board of directors in its sole discretion,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subject to such guidelines and procedures as the board of directors may adopt, stockholders and proxyholders not physically present at a meeting of stockholders may, by means of remote communication,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participate in a meeting of stockholders, and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be deemed present in person and vote at a meeting of stockholders whether such meeting is to be held at a designated place or solely by means of remote communication, provided that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the corporation shall implement reasonable measures to verify that each person deemed present and permitted to vote at the meeting by</w:t>
      </w:r>
    </w:p>
    <w:p>
      <w:pPr>
        <w:sectPr>
          <w:pgSz w:w="11900" w:h="16838" w:orient="portrait"/>
          <w:cols w:equalWidth="0" w:num="1">
            <w:col w:w="9019"/>
          </w:cols>
          <w:pgMar w:left="1440" w:top="87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21" w:name="page22"/>
    <w:bookmarkEnd w:id="21"/>
    <w:p>
      <w:pPr>
        <w:jc w:val="both"/>
        <w:ind w:left="200" w:right="219"/>
        <w:spacing w:after="0" w:line="257" w:lineRule="auto"/>
        <w:rPr>
          <w:sz w:val="20"/>
          <w:szCs w:val="20"/>
          <w:color w:val="auto"/>
        </w:rPr>
      </w:pPr>
      <w:r>
        <w:rPr>
          <w:rFonts w:ascii="Times New Roman" w:cs="Times New Roman" w:eastAsia="Times New Roman" w:hAnsi="Times New Roman"/>
          <w:sz w:val="18"/>
          <w:szCs w:val="18"/>
          <w:color w:val="auto"/>
        </w:rPr>
        <w:t xml:space="preserve">means of remote communication is a stockholder or proxyholder,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if any stockholder or proxyholder votes or takes other action at the meeting by means of remote communication, a record of such vote or other action shall be maintained by the corporation.</w:t>
      </w:r>
    </w:p>
    <w:p>
      <w:pPr>
        <w:spacing w:after="0" w:line="182"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2.15. </w:t>
      </w:r>
      <w:r>
        <w:rPr>
          <w:rFonts w:ascii="Times New Roman" w:cs="Times New Roman" w:eastAsia="Times New Roman" w:hAnsi="Times New Roman"/>
          <w:sz w:val="18"/>
          <w:szCs w:val="18"/>
          <w:b w:val="1"/>
          <w:bCs w:val="1"/>
          <w:i w:val="1"/>
          <w:iCs w:val="1"/>
          <w:color w:val="auto"/>
        </w:rPr>
        <w:t>Minutes.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shall cause regular minutes of their proceedings to be kept,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minutes shall be placed in the minute proceedings of the corporation (which may be maintained in paper or electronic form).</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03"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i w:val="1"/>
          <w:iCs w:val="1"/>
          <w:color w:val="auto"/>
        </w:rPr>
        <w:t>Number, Qualifications and Term of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business and affairs of the corporation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managed by a board of directors. Subject to the preferential voting rights of the holders of preferred stock or any other class of capital stock of the corporation or any series of any of the foregoing that is then outstanding, the board of directors shall consist of one or more members. The number of members of the board of directors shall be fixed from time to time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by the board of directors pursuant to a resolution adopted by a majority of the entire board of directors or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by the stockholders pursuant to a resolution adopted by a majority of the holders of shares of the corporation entitled to vote for the election of directors;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stockholders have acted to fix the number of directors, any action by the board of directors to fix another number shall only become effective on or after the first annual meeting of stockholders that follows such stockholder action. Each director shall be elected at the annual meeting of the stockholders (or a special meeting called for such purpose) by a plurality vote, except as provided in </w:t>
      </w:r>
      <w:r>
        <w:rPr>
          <w:rFonts w:ascii="Times New Roman" w:cs="Times New Roman" w:eastAsia="Times New Roman" w:hAnsi="Times New Roman"/>
          <w:sz w:val="18"/>
          <w:szCs w:val="18"/>
          <w:b w:val="1"/>
          <w:bCs w:val="1"/>
          <w:color w:val="auto"/>
        </w:rPr>
        <w:t>Section 3.4</w:t>
      </w:r>
      <w:r>
        <w:rPr>
          <w:rFonts w:ascii="Times New Roman" w:cs="Times New Roman" w:eastAsia="Times New Roman" w:hAnsi="Times New Roman"/>
          <w:sz w:val="18"/>
          <w:szCs w:val="18"/>
          <w:color w:val="auto"/>
        </w:rPr>
        <w:t>, and each director elected shall hold office until the next annual meeting of stockholders and until his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 successor is duly elected and qualified or until his or her earlier death, resignation or removal. No reduction of the authorized number of directors shall have the effect of removing any director before that director’s term expires.</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i w:val="1"/>
          <w:iCs w:val="1"/>
          <w:color w:val="auto"/>
        </w:rPr>
        <w:t>Nomination of Director Candidates.</w:t>
      </w:r>
    </w:p>
    <w:p>
      <w:pPr>
        <w:spacing w:after="0" w:line="229" w:lineRule="exact"/>
        <w:rPr>
          <w:sz w:val="20"/>
          <w:szCs w:val="20"/>
          <w:color w:val="auto"/>
        </w:rPr>
      </w:pPr>
    </w:p>
    <w:p>
      <w:pPr>
        <w:jc w:val="both"/>
        <w:ind w:left="200" w:right="219" w:firstLine="657"/>
        <w:spacing w:after="0" w:line="258" w:lineRule="auto"/>
        <w:tabs>
          <w:tab w:leader="none" w:pos="149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the preferential voting rights of the holders of preferred stock or any other class of capital stock of the corporation or any series of any of the foregoing that is then outstanding, nominations for the election of directors may be made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by the board of directors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by any stockholder entitled to vote for the election of directors who complies with the procedures established in this </w:t>
      </w:r>
      <w:r>
        <w:rPr>
          <w:rFonts w:ascii="Times New Roman" w:cs="Times New Roman" w:eastAsia="Times New Roman" w:hAnsi="Times New Roman"/>
          <w:sz w:val="18"/>
          <w:szCs w:val="18"/>
          <w:b w:val="1"/>
          <w:bCs w:val="1"/>
          <w:color w:val="auto"/>
        </w:rPr>
        <w:t>Section 3.2</w:t>
      </w:r>
      <w:r>
        <w:rPr>
          <w:rFonts w:ascii="Times New Roman" w:cs="Times New Roman" w:eastAsia="Times New Roman" w:hAnsi="Times New Roman"/>
          <w:sz w:val="18"/>
          <w:szCs w:val="18"/>
          <w:color w:val="auto"/>
        </w:rPr>
        <w:t>. In order to be eligible for election as a director, any director nominee must first be nominated in accordance with the provisions of these bylaws.</w:t>
      </w:r>
    </w:p>
    <w:p>
      <w:pPr>
        <w:spacing w:after="0" w:line="183" w:lineRule="exact"/>
        <w:rPr>
          <w:rFonts w:ascii="Times New Roman" w:cs="Times New Roman" w:eastAsia="Times New Roman" w:hAnsi="Times New Roman"/>
          <w:sz w:val="18"/>
          <w:szCs w:val="18"/>
          <w:b w:val="1"/>
          <w:bCs w:val="1"/>
          <w:color w:val="auto"/>
        </w:rPr>
      </w:pPr>
    </w:p>
    <w:p>
      <w:pPr>
        <w:jc w:val="both"/>
        <w:ind w:left="200" w:right="219" w:firstLine="657"/>
        <w:spacing w:after="0" w:line="252" w:lineRule="auto"/>
        <w:tabs>
          <w:tab w:leader="none" w:pos="149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stockholder entitled to vote for the election of a director at a meeting may nominate persons for whom such stockholder may vote only if written notice of such stockholder’s intent to make such nomination is given, either by personal delivery or by United States mail, postage prepaid, to the secretary of the corporation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with respect to an election to be held at an annual meeting of stockholders, not less than one hundred twenty (120) days nor more than one hundred fifty (150) days in advance of the anniversary of the previous year's annual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annual meeting is called for a date that is not within thirty (30) days before or after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anniversary date, notice by the stockholder in order to be timely must be so received no later than the close of business on the tenth (10th) day following the date on which such notice of the date of the annual meeting was mailed or the public disclosure of the date of the annual meeting was made, whichever first occurs; and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with respect to an election to be held at a special meeting of stockholders for the election of directors, by the close of business on the tenth day following the date on which notice of such meeting is first mailed to stockholders or public disclosure of the date of the special meeting was made, whichever first occurs. In no event shall the adjournment or postponement of the annual meeting or a special meeting called for the purpose of electing directors, or the public announcement of such an adjournment or postponement, commence a new time period (or extend any time period) for the giving of a stockholder's notice as described above. Each such notice shall set forth:</w:t>
      </w:r>
    </w:p>
    <w:p>
      <w:pPr>
        <w:spacing w:after="0" w:line="196" w:lineRule="exact"/>
        <w:rPr>
          <w:sz w:val="20"/>
          <w:szCs w:val="20"/>
          <w:color w:val="auto"/>
        </w:rPr>
      </w:pPr>
    </w:p>
    <w:p>
      <w:pPr>
        <w:ind w:left="200" w:right="219" w:firstLine="657"/>
        <w:spacing w:after="0" w:line="282" w:lineRule="auto"/>
        <w:tabs>
          <w:tab w:leader="none" w:pos="149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to the stockholder who intends to make the nomination (for purposes of this section, the “proponent”) and the beneficial owner, if any, on whose behalf the nomination is being made,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2" w:name="page23"/>
    <w:bookmarkEnd w:id="22"/>
    <w:p>
      <w:pPr>
        <w:ind w:left="860" w:right="219" w:firstLine="645"/>
        <w:spacing w:after="0" w:line="261" w:lineRule="auto"/>
        <w:tabs>
          <w:tab w:leader="none" w:pos="1807"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name and address of each such person, and of any holder of record of the proponent’s shares as they appear on the corporation’s books;</w:t>
      </w:r>
    </w:p>
    <w:p>
      <w:pPr>
        <w:jc w:val="both"/>
        <w:ind w:left="860" w:right="219" w:firstLine="645"/>
        <w:spacing w:after="0" w:line="250" w:lineRule="auto"/>
        <w:tabs>
          <w:tab w:leader="none" w:pos="181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class and number of shares of capital stock of the corporation that are owned (beneficially and of record) by each such person and owned by any holder of record of each such person’s shares, as of the date of such proponent’s notice, and a representation that the proponent will notify the corporation in writing of the class and number of such shares owned of record and beneficially by each such person as of the record date for determining the stockholders entitled to vote at the meeting not later than five (5) business days following such record date;</w:t>
      </w:r>
    </w:p>
    <w:p>
      <w:pPr>
        <w:spacing w:after="0" w:line="2" w:lineRule="exact"/>
        <w:rPr>
          <w:rFonts w:ascii="Times New Roman" w:cs="Times New Roman" w:eastAsia="Times New Roman" w:hAnsi="Times New Roman"/>
          <w:sz w:val="18"/>
          <w:szCs w:val="18"/>
          <w:b w:val="1"/>
          <w:bCs w:val="1"/>
          <w:color w:val="auto"/>
        </w:rPr>
      </w:pPr>
    </w:p>
    <w:p>
      <w:pPr>
        <w:jc w:val="both"/>
        <w:ind w:left="860" w:right="219" w:firstLine="645"/>
        <w:spacing w:after="0" w:line="250" w:lineRule="auto"/>
        <w:tabs>
          <w:tab w:leader="none" w:pos="1807"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description of all agreements, arrangements or understandings with respect to such nomination between each such person and any of its affiliates or associates, and any other person or persons (naming such person or persons) acting in concert with any of the foregoing, and a representation that the proponent will notify the corporation in writing of any such agreement, arrangement or understanding in effect as of the record date for the meeting not later than five (5) business days following such record date;</w:t>
      </w:r>
    </w:p>
    <w:p>
      <w:pPr>
        <w:spacing w:after="0" w:line="1" w:lineRule="exact"/>
        <w:rPr>
          <w:rFonts w:ascii="Times New Roman" w:cs="Times New Roman" w:eastAsia="Times New Roman" w:hAnsi="Times New Roman"/>
          <w:sz w:val="18"/>
          <w:szCs w:val="18"/>
          <w:b w:val="1"/>
          <w:bCs w:val="1"/>
          <w:color w:val="auto"/>
        </w:rPr>
      </w:pPr>
    </w:p>
    <w:p>
      <w:pPr>
        <w:jc w:val="both"/>
        <w:ind w:left="860" w:right="219" w:firstLine="645"/>
        <w:spacing w:after="0" w:line="250" w:lineRule="auto"/>
        <w:tabs>
          <w:tab w:leader="none" w:pos="1864"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description of any agreement, arrangement or understanding (including any derivative instruments, swaps, warrants, short positions, profit interests, options, hedging transactions, borrowed or loaned shares or other transactions) that has been entered into as of the date of the proponent's notice by, or on behalf of, each such person or any of its affiliates or associates, the effect or intent of which is to mitigate loss to, manage risk or benefit of share price changes for, or increase or decrease the voting power of each such person or any of its affiliates or associates with respect to shares of stock of the corporation, and a representation that the proponent will notify the corporation in writing of any such agreement, arrangement or understanding in effect as of such record date for the meeting not later than five (5) business days following such record date;</w:t>
      </w:r>
    </w:p>
    <w:p>
      <w:pPr>
        <w:spacing w:after="0" w:line="3" w:lineRule="exact"/>
        <w:rPr>
          <w:rFonts w:ascii="Times New Roman" w:cs="Times New Roman" w:eastAsia="Times New Roman" w:hAnsi="Times New Roman"/>
          <w:sz w:val="18"/>
          <w:szCs w:val="18"/>
          <w:b w:val="1"/>
          <w:bCs w:val="1"/>
          <w:color w:val="auto"/>
        </w:rPr>
      </w:pPr>
    </w:p>
    <w:p>
      <w:pPr>
        <w:jc w:val="both"/>
        <w:ind w:left="860" w:right="219" w:firstLine="645"/>
        <w:spacing w:after="0" w:line="250" w:lineRule="auto"/>
        <w:tabs>
          <w:tab w:leader="none" w:pos="1818"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representation that the proponent is a holder of record or beneficial owner of shares of the corporation entitled to vote at the annual meeting and intends to appear in person or by proxy at the meeting to nominate the person or persons specified in the notice;</w:t>
      </w:r>
    </w:p>
    <w:p>
      <w:pPr>
        <w:spacing w:after="0" w:line="1" w:lineRule="exact"/>
        <w:rPr>
          <w:rFonts w:ascii="Times New Roman" w:cs="Times New Roman" w:eastAsia="Times New Roman" w:hAnsi="Times New Roman"/>
          <w:sz w:val="18"/>
          <w:szCs w:val="18"/>
          <w:b w:val="1"/>
          <w:bCs w:val="1"/>
          <w:color w:val="auto"/>
        </w:rPr>
      </w:pPr>
    </w:p>
    <w:p>
      <w:pPr>
        <w:jc w:val="both"/>
        <w:ind w:left="860" w:right="219" w:firstLine="645"/>
        <w:spacing w:after="0" w:line="250" w:lineRule="auto"/>
        <w:tabs>
          <w:tab w:leader="none" w:pos="179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representation whether the proponent intends to solicit proxies in support of director nominees other than the corporation’s nominees in accordance with Rule 14a-19 promulgated under the Exchange Act (including a statement that such proponent intends to solicit the holders of shares representing at least 67% of the voting power of shares of the corporation entitled to vote on the election of directors), and</w:t>
      </w:r>
    </w:p>
    <w:p>
      <w:pPr>
        <w:spacing w:after="0" w:line="1" w:lineRule="exact"/>
        <w:rPr>
          <w:rFonts w:ascii="Times New Roman" w:cs="Times New Roman" w:eastAsia="Times New Roman" w:hAnsi="Times New Roman"/>
          <w:sz w:val="18"/>
          <w:szCs w:val="18"/>
          <w:b w:val="1"/>
          <w:bCs w:val="1"/>
          <w:color w:val="auto"/>
        </w:rPr>
      </w:pPr>
    </w:p>
    <w:p>
      <w:pPr>
        <w:jc w:val="both"/>
        <w:ind w:left="860" w:right="219" w:firstLine="645"/>
        <w:spacing w:after="0" w:line="253" w:lineRule="auto"/>
        <w:tabs>
          <w:tab w:leader="none" w:pos="1829"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information relating to each such person that would be required to be disclosed in a proxy statement or other filing required to be made in connection with the solicitation of proxies by each such person with respect to the proposed business to be brought by each such person before the annual meeting pursuant to Section 14 of the Exchange Act, and the rules and regulations promulgated thereunder pursuant to which the nomination or nominations are to be made by the stockholder; and</w:t>
      </w:r>
    </w:p>
    <w:p>
      <w:pPr>
        <w:spacing w:after="0" w:line="186" w:lineRule="exact"/>
        <w:rPr>
          <w:rFonts w:ascii="Times New Roman" w:cs="Times New Roman" w:eastAsia="Times New Roman" w:hAnsi="Times New Roman"/>
          <w:sz w:val="18"/>
          <w:szCs w:val="18"/>
          <w:b w:val="1"/>
          <w:bCs w:val="1"/>
          <w:color w:val="auto"/>
        </w:rPr>
      </w:pPr>
    </w:p>
    <w:p>
      <w:pPr>
        <w:ind w:left="1500" w:hanging="643"/>
        <w:spacing w:after="0"/>
        <w:tabs>
          <w:tab w:leader="none" w:pos="15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to each person whom the proponent proposes to nominate for election as director,</w:t>
      </w:r>
    </w:p>
    <w:p>
      <w:pPr>
        <w:spacing w:after="0" w:line="225" w:lineRule="exact"/>
        <w:rPr>
          <w:rFonts w:ascii="Times New Roman" w:cs="Times New Roman" w:eastAsia="Times New Roman" w:hAnsi="Times New Roman"/>
          <w:sz w:val="18"/>
          <w:szCs w:val="18"/>
          <w:b w:val="1"/>
          <w:bCs w:val="1"/>
          <w:color w:val="auto"/>
        </w:rPr>
      </w:pPr>
    </w:p>
    <w:p>
      <w:pPr>
        <w:ind w:left="1800" w:hanging="295"/>
        <w:spacing w:after="0"/>
        <w:tabs>
          <w:tab w:leader="none" w:pos="180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name,‎ age, business address and residence address of such person,</w:t>
      </w:r>
    </w:p>
    <w:p>
      <w:pPr>
        <w:spacing w:after="0" w:line="27" w:lineRule="exact"/>
        <w:rPr>
          <w:rFonts w:ascii="Times New Roman" w:cs="Times New Roman" w:eastAsia="Times New Roman" w:hAnsi="Times New Roman"/>
          <w:sz w:val="18"/>
          <w:szCs w:val="18"/>
          <w:b w:val="1"/>
          <w:bCs w:val="1"/>
          <w:color w:val="auto"/>
        </w:rPr>
      </w:pPr>
    </w:p>
    <w:p>
      <w:pPr>
        <w:ind w:left="1780" w:hanging="275"/>
        <w:spacing w:after="0"/>
        <w:tabs>
          <w:tab w:leader="none" w:pos="178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principal occupation or‎ employment of such person,</w:t>
      </w:r>
    </w:p>
    <w:p>
      <w:pPr>
        <w:spacing w:after="0" w:line="9" w:lineRule="exact"/>
        <w:rPr>
          <w:rFonts w:ascii="Times New Roman" w:cs="Times New Roman" w:eastAsia="Times New Roman" w:hAnsi="Times New Roman"/>
          <w:sz w:val="18"/>
          <w:szCs w:val="18"/>
          <w:b w:val="1"/>
          <w:bCs w:val="1"/>
          <w:color w:val="auto"/>
        </w:rPr>
      </w:pPr>
    </w:p>
    <w:p>
      <w:pPr>
        <w:ind w:left="860" w:right="219" w:firstLine="645"/>
        <w:spacing w:after="0" w:line="250" w:lineRule="auto"/>
        <w:tabs>
          <w:tab w:leader="none" w:pos="1819"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class and number of all shares of capital stock of the corporation‎ that are owned of record and beneficially by such person,</w:t>
      </w:r>
    </w:p>
    <w:p>
      <w:pPr>
        <w:ind w:left="860" w:right="219" w:firstLine="645"/>
        <w:spacing w:after="0" w:line="250" w:lineRule="auto"/>
        <w:tabs>
          <w:tab w:leader="none" w:pos="1807"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an appendix, a completed‎ and signed questionnaire, representation and agreement required by clause (e) of this </w:t>
      </w:r>
      <w:r>
        <w:rPr>
          <w:rFonts w:ascii="Times New Roman" w:cs="Times New Roman" w:eastAsia="Times New Roman" w:hAnsi="Times New Roman"/>
          <w:sz w:val="18"/>
          <w:szCs w:val="18"/>
          <w:b w:val="1"/>
          <w:bCs w:val="1"/>
          <w:color w:val="auto"/>
        </w:rPr>
        <w:t>Section 3.2</w:t>
      </w:r>
      <w:r>
        <w:rPr>
          <w:rFonts w:ascii="Times New Roman" w:cs="Times New Roman" w:eastAsia="Times New Roman" w:hAnsi="Times New Roman"/>
          <w:sz w:val="18"/>
          <w:szCs w:val="18"/>
          <w:color w:val="auto"/>
        </w:rPr>
        <w:t>, and</w:t>
      </w:r>
    </w:p>
    <w:p>
      <w:pPr>
        <w:ind w:left="1800" w:hanging="295"/>
        <w:spacing w:after="0"/>
        <w:tabs>
          <w:tab w:leader="none" w:pos="180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information relating to such nominee that would be required to be‎ disclosed in a proxy</w:t>
      </w:r>
    </w:p>
    <w:p>
      <w:pPr>
        <w:spacing w:after="0" w:line="9" w:lineRule="exact"/>
        <w:rPr>
          <w:rFonts w:ascii="Times New Roman" w:cs="Times New Roman" w:eastAsia="Times New Roman" w:hAnsi="Times New Roman"/>
          <w:sz w:val="18"/>
          <w:szCs w:val="18"/>
          <w:b w:val="1"/>
          <w:bCs w:val="1"/>
          <w:color w:val="auto"/>
        </w:rPr>
      </w:pPr>
    </w:p>
    <w:p>
      <w:pPr>
        <w:ind w:left="860" w:right="239"/>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statement or other filing required to be made in connection with the solicitation‎ of proxies for election as directors pursuant to Section 14 of the Exchange Act, and the‎ rules and regulations promulgated thereunder.</w:t>
      </w:r>
    </w:p>
    <w:p>
      <w:pPr>
        <w:spacing w:after="0" w:line="181" w:lineRule="exact"/>
        <w:rPr>
          <w:sz w:val="20"/>
          <w:szCs w:val="20"/>
          <w:color w:val="auto"/>
        </w:rPr>
      </w:pPr>
    </w:p>
    <w:p>
      <w:pPr>
        <w:ind w:left="200" w:right="239"/>
        <w:spacing w:after="0" w:line="282" w:lineRule="auto"/>
        <w:rPr>
          <w:sz w:val="20"/>
          <w:szCs w:val="20"/>
          <w:color w:val="auto"/>
        </w:rPr>
      </w:pPr>
      <w:r>
        <w:rPr>
          <w:rFonts w:ascii="Times New Roman" w:cs="Times New Roman" w:eastAsia="Times New Roman" w:hAnsi="Times New Roman"/>
          <w:sz w:val="18"/>
          <w:szCs w:val="18"/>
          <w:color w:val="auto"/>
        </w:rPr>
        <w:t>Such notice must be accompanied by the written consent of each proposed nominee to being named as a nominee in the corporation’s proxy statement and any accompanying proxy and to serve as a director of the corporation if elected.</w:t>
      </w:r>
    </w:p>
    <w:p>
      <w:pPr>
        <w:spacing w:after="0" w:line="158" w:lineRule="exact"/>
        <w:rPr>
          <w:sz w:val="20"/>
          <w:szCs w:val="20"/>
          <w:color w:val="auto"/>
        </w:rPr>
      </w:pPr>
    </w:p>
    <w:p>
      <w:pPr>
        <w:jc w:val="both"/>
        <w:ind w:left="200" w:right="239" w:firstLine="657"/>
        <w:spacing w:after="0" w:line="263" w:lineRule="auto"/>
        <w:tabs>
          <w:tab w:leader="none" w:pos="1541"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addition to the information required pursuant to this </w:t>
      </w:r>
      <w:r>
        <w:rPr>
          <w:rFonts w:ascii="Times New Roman" w:cs="Times New Roman" w:eastAsia="Times New Roman" w:hAnsi="Times New Roman"/>
          <w:sz w:val="18"/>
          <w:szCs w:val="18"/>
          <w:b w:val="1"/>
          <w:bCs w:val="1"/>
          <w:color w:val="auto"/>
        </w:rPr>
        <w:t>Section 3.2</w:t>
      </w:r>
      <w:r>
        <w:rPr>
          <w:rFonts w:ascii="Times New Roman" w:cs="Times New Roman" w:eastAsia="Times New Roman" w:hAnsi="Times New Roman"/>
          <w:sz w:val="18"/>
          <w:szCs w:val="18"/>
          <w:color w:val="auto"/>
        </w:rPr>
        <w:t xml:space="preserve"> or any other provision of these bylaws, the corporation may require any proposed nominee to furnish any other information that, among other things,</w:t>
      </w:r>
    </w:p>
    <w:p>
      <w:pPr>
        <w:jc w:val="both"/>
        <w:ind w:left="200" w:right="219" w:firstLine="9"/>
        <w:spacing w:after="0" w:line="253" w:lineRule="auto"/>
        <w:tabs>
          <w:tab w:leader="none" w:pos="42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may reasonably be required by the corporation to determine whether the proposed nominee would be independent under the rules and listing standards of the principal United States securities exchanges upon which the stock of the corporation is listed or traded, any applicable rules of the U.S. Securities and Exchange Commission or any publicly disclosed standards used by the board of directors in determining and disclosing the independence of the corporation’s directors,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could be material to a reasonable stockholder’s understanding of the independence, or lack thereof, of</w:t>
      </w:r>
    </w:p>
    <w:p>
      <w:pPr>
        <w:sectPr>
          <w:pgSz w:w="11900" w:h="16838" w:orient="portrait"/>
          <w:cols w:equalWidth="0" w:num="1">
            <w:col w:w="9019"/>
          </w:cols>
          <w:pgMar w:left="1440" w:top="8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23" w:name="page24"/>
    <w:bookmarkEnd w:id="23"/>
    <w:p>
      <w:pPr>
        <w:jc w:val="both"/>
        <w:ind w:left="200" w:right="219"/>
        <w:spacing w:after="0" w:line="262" w:lineRule="auto"/>
        <w:rPr>
          <w:sz w:val="20"/>
          <w:szCs w:val="20"/>
          <w:color w:val="auto"/>
        </w:rPr>
      </w:pPr>
      <w:r>
        <w:rPr>
          <w:rFonts w:ascii="Times New Roman" w:cs="Times New Roman" w:eastAsia="Times New Roman" w:hAnsi="Times New Roman"/>
          <w:sz w:val="18"/>
          <w:szCs w:val="18"/>
          <w:color w:val="auto"/>
        </w:rPr>
        <w:t xml:space="preserve">such nominee, or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may reasonably be required by the corporation to determine the eligibility of such nominee to serve as a director of the corporation. If the chair of the meeting (or the board of directors in advance of any such meeting) determines that a nomination of any candidate for election as a director was not made in compliance with the applicable provisions of these bylaws, such nomination shall be void.</w:t>
      </w:r>
    </w:p>
    <w:p>
      <w:pPr>
        <w:spacing w:after="0" w:line="176" w:lineRule="exact"/>
        <w:rPr>
          <w:sz w:val="20"/>
          <w:szCs w:val="20"/>
          <w:color w:val="auto"/>
        </w:rPr>
      </w:pPr>
    </w:p>
    <w:p>
      <w:pPr>
        <w:jc w:val="both"/>
        <w:ind w:left="200" w:right="219" w:firstLine="657"/>
        <w:spacing w:after="0" w:line="263" w:lineRule="auto"/>
        <w:tabs>
          <w:tab w:leader="none" w:pos="149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anything in these bylaws to the contrary, unless otherwise required by law,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if‎ a proponent intending to make a nomination at an annual or special meeting pursuant to this </w:t>
      </w:r>
      <w:r>
        <w:rPr>
          <w:rFonts w:ascii="Times New Roman" w:cs="Times New Roman" w:eastAsia="Times New Roman" w:hAnsi="Times New Roman"/>
          <w:sz w:val="18"/>
          <w:szCs w:val="18"/>
          <w:b w:val="1"/>
          <w:bCs w:val="1"/>
          <w:color w:val="auto"/>
        </w:rPr>
        <w:t>Section 3.2</w:t>
      </w:r>
      <w:r>
        <w:rPr>
          <w:rFonts w:ascii="Times New Roman" w:cs="Times New Roman" w:eastAsia="Times New Roman" w:hAnsi="Times New Roman"/>
          <w:sz w:val="18"/>
          <w:szCs w:val="18"/>
          <w:color w:val="auto"/>
        </w:rPr>
        <w:t xml:space="preserve"> does not</w:t>
      </w:r>
    </w:p>
    <w:p>
      <w:pPr>
        <w:jc w:val="both"/>
        <w:ind w:left="200" w:right="23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provide the information required under such section to the corporation‎ (including providing the updated information required by clauses (b)(i)(B), b(i)(C) and (b)(i)(D) of this </w:t>
      </w:r>
      <w:r>
        <w:rPr>
          <w:rFonts w:ascii="Times New Roman" w:cs="Times New Roman" w:eastAsia="Times New Roman" w:hAnsi="Times New Roman"/>
          <w:sz w:val="18"/>
          <w:szCs w:val="18"/>
          <w:b w:val="1"/>
          <w:bCs w:val="1"/>
          <w:color w:val="auto"/>
        </w:rPr>
        <w:t>Section 3.2</w:t>
      </w:r>
      <w:r>
        <w:rPr>
          <w:rFonts w:ascii="Times New Roman" w:cs="Times New Roman" w:eastAsia="Times New Roman" w:hAnsi="Times New Roman"/>
          <w:sz w:val="18"/>
          <w:szCs w:val="18"/>
          <w:color w:val="auto"/>
        </w:rPr>
        <w:t xml:space="preserve"> by the deadlines specified therein), or the</w:t>
      </w: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proponent (or a qualified‎ representative of the proponent) does not appear at the meeting to present the nomination,‎</w:t>
      </w:r>
    </w:p>
    <w:p>
      <w:pPr>
        <w:spacing w:after="0" w:line="9" w:lineRule="exact"/>
        <w:rPr>
          <w:rFonts w:ascii="Times New Roman" w:cs="Times New Roman" w:eastAsia="Times New Roman" w:hAnsi="Times New Roman"/>
          <w:sz w:val="18"/>
          <w:szCs w:val="18"/>
          <w:b w:val="1"/>
          <w:bCs w:val="1"/>
          <w:color w:val="auto"/>
        </w:rPr>
      </w:pPr>
    </w:p>
    <w:p>
      <w:pPr>
        <w:jc w:val="both"/>
        <w:ind w:left="200" w:right="21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such nomination shall be disregarded, notwithstanding that proxies in respect of such‎ nomination may have been received by the corporation, and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if any stockholder or any affiliate or associate of, or other person acting in concert</w:t>
      </w:r>
    </w:p>
    <w:p>
      <w:pPr>
        <w:jc w:val="both"/>
        <w:ind w:left="200" w:right="21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such stockholder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provides notice pursuant to Rule 14a-19(b) promulgated under‎ the Exchange Act with respect to any proposed director nominee and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either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notifies the corporation that such stockholder or other person no longer intends to solicit proxies in support of a proposed nominee in accordance with Rule 14a-19(b) promulgated under the Exchange Act or </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xml:space="preserve"> subsequently fails‎ to comply with the requirements of Rule 14a-19(a)(2) or</w:t>
      </w:r>
    </w:p>
    <w:p>
      <w:pPr>
        <w:spacing w:after="0" w:line="1"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Rule 14a-19(a)(3) promulgated under‎ the Exchange Act (or fails to timely provide reasonable evidence that it has met</w:t>
      </w:r>
    </w:p>
    <w:p>
      <w:pPr>
        <w:spacing w:after="0" w:line="9"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requirements‎ of Rule 14a-19(a)(3) promulgated under the Exchange Act in accordance with the following‎</w:t>
      </w:r>
    </w:p>
    <w:p>
      <w:pPr>
        <w:spacing w:after="0" w:line="9" w:lineRule="exact"/>
        <w:rPr>
          <w:rFonts w:ascii="Times New Roman" w:cs="Times New Roman" w:eastAsia="Times New Roman" w:hAnsi="Times New Roman"/>
          <w:sz w:val="18"/>
          <w:szCs w:val="18"/>
          <w:b w:val="1"/>
          <w:bCs w:val="1"/>
          <w:color w:val="auto"/>
        </w:rPr>
      </w:pPr>
    </w:p>
    <w:p>
      <w:pPr>
        <w:jc w:val="both"/>
        <w:ind w:left="200" w:right="21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sentence), then in either case the nomination of each such proposed nominee shall be disregarded, notwithstanding‎ that proxies or votes in respect of the election of such proposed nominee may have‎ been received by the corporation (which</w:t>
      </w: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proxies and votes shall also be disregarded). Upon‎ request by the corporation, if any stockholder provides notice</w:t>
      </w:r>
    </w:p>
    <w:p>
      <w:pPr>
        <w:spacing w:after="0" w:line="9" w:lineRule="exact"/>
        <w:rPr>
          <w:rFonts w:ascii="Times New Roman" w:cs="Times New Roman" w:eastAsia="Times New Roman" w:hAnsi="Times New Roman"/>
          <w:sz w:val="18"/>
          <w:szCs w:val="18"/>
          <w:b w:val="1"/>
          <w:bCs w:val="1"/>
          <w:color w:val="auto"/>
        </w:rPr>
      </w:pPr>
    </w:p>
    <w:p>
      <w:pPr>
        <w:jc w:val="both"/>
        <w:ind w:left="200" w:right="21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Rule 14a-19(b) promulgated‎ under the Exchange Act, such stockholder shall deliver to the corporation, no later than‎ five (5) business days prior to the applicable meeting, reasonable evidence that it has met the‎ requirements of Rule 14a-19(a)(3) promulgated under the Exchange Act.</w:t>
      </w:r>
    </w:p>
    <w:p>
      <w:pPr>
        <w:spacing w:after="0" w:line="185" w:lineRule="exact"/>
        <w:rPr>
          <w:rFonts w:ascii="Times New Roman" w:cs="Times New Roman" w:eastAsia="Times New Roman" w:hAnsi="Times New Roman"/>
          <w:sz w:val="18"/>
          <w:szCs w:val="18"/>
          <w:b w:val="1"/>
          <w:bCs w:val="1"/>
          <w:color w:val="auto"/>
        </w:rPr>
      </w:pPr>
    </w:p>
    <w:p>
      <w:pPr>
        <w:ind w:left="1500" w:hanging="643"/>
        <w:spacing w:after="0"/>
        <w:tabs>
          <w:tab w:leader="none" w:pos="1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be eligible to be a nominee for election as a director of the corporation, a person nominated in‎</w:t>
      </w:r>
    </w:p>
    <w:p>
      <w:pPr>
        <w:spacing w:after="0" w:line="27" w:lineRule="exact"/>
        <w:rPr>
          <w:rFonts w:ascii="Times New Roman" w:cs="Times New Roman" w:eastAsia="Times New Roman" w:hAnsi="Times New Roman"/>
          <w:sz w:val="18"/>
          <w:szCs w:val="18"/>
          <w:b w:val="1"/>
          <w:bCs w:val="1"/>
          <w:color w:val="auto"/>
        </w:rPr>
      </w:pPr>
    </w:p>
    <w:p>
      <w:pPr>
        <w:jc w:val="both"/>
        <w:ind w:left="200" w:right="21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accordance with clause (b) of this </w:t>
      </w:r>
      <w:r>
        <w:rPr>
          <w:rFonts w:ascii="Times New Roman" w:cs="Times New Roman" w:eastAsia="Times New Roman" w:hAnsi="Times New Roman"/>
          <w:sz w:val="18"/>
          <w:szCs w:val="18"/>
          <w:b w:val="1"/>
          <w:bCs w:val="1"/>
          <w:color w:val="auto"/>
        </w:rPr>
        <w:t>Section 3.2</w:t>
      </w:r>
      <w:r>
        <w:rPr>
          <w:rFonts w:ascii="Times New Roman" w:cs="Times New Roman" w:eastAsia="Times New Roman" w:hAnsi="Times New Roman"/>
          <w:sz w:val="18"/>
          <w:szCs w:val="18"/>
          <w:color w:val="auto"/>
        </w:rPr>
        <w:t xml:space="preserve"> must deliver (in accordance‎ with the time periods prescribed for delivery of notice under such clause) to the secretary of the corporation at the principal executive offices of‎ the corporation a written questionnaire with respect to the background and qualification of such‎ person and the background of any other</w:t>
      </w:r>
    </w:p>
    <w:p>
      <w:pPr>
        <w:spacing w:after="0" w:line="1"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person or entity on whose behalf the nomination is being‎ made (which questionnaire shall be provided by the secretary</w:t>
      </w:r>
    </w:p>
    <w:p>
      <w:pPr>
        <w:spacing w:after="0" w:line="9"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ten (10) days of a written‎ request therefor by a stockholder of record) and a written representation and</w:t>
      </w:r>
    </w:p>
    <w:p>
      <w:pPr>
        <w:spacing w:after="0" w:line="9"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 (in‎ the form provided by the secretary within ten (10) days of a written request therefor by a stockholder‎ of</w:t>
      </w:r>
    </w:p>
    <w:p>
      <w:pPr>
        <w:spacing w:after="0" w:line="9"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record) that such person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is not and will not become a party to any agreement, arrangement‎ or understanding with,</w:t>
      </w:r>
    </w:p>
    <w:p>
      <w:pPr>
        <w:spacing w:after="0" w:line="9" w:lineRule="exact"/>
        <w:rPr>
          <w:rFonts w:ascii="Times New Roman" w:cs="Times New Roman" w:eastAsia="Times New Roman" w:hAnsi="Times New Roman"/>
          <w:sz w:val="18"/>
          <w:szCs w:val="18"/>
          <w:b w:val="1"/>
          <w:bCs w:val="1"/>
          <w:color w:val="auto"/>
        </w:rPr>
      </w:pPr>
    </w:p>
    <w:p>
      <w:pPr>
        <w:jc w:val="both"/>
        <w:ind w:left="200" w:right="23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and has not given any commitment or assurance to, any person‎ or entity as to how such person, if elected as a director of the corporation, will act or vote‎ on any issue or question that has not been disclosed to the corporation,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is not</w:t>
      </w: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 will not‎ become a party to any agreement, arrangement or understanding with any person or entity other‎ than the</w:t>
      </w:r>
    </w:p>
    <w:p>
      <w:pPr>
        <w:spacing w:after="0" w:line="9"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corporation with respect to any direct or indirect compensation, reimbursement or indemnification‎ in connection with</w:t>
      </w:r>
    </w:p>
    <w:p>
      <w:pPr>
        <w:spacing w:after="0" w:line="9"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service or action as a director that has not been disclosed therein,‎ and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in such person's individual capacity and on</w:t>
      </w:r>
    </w:p>
    <w:p>
      <w:pPr>
        <w:spacing w:after="0" w:line="9" w:lineRule="exact"/>
        <w:rPr>
          <w:rFonts w:ascii="Times New Roman" w:cs="Times New Roman" w:eastAsia="Times New Roman" w:hAnsi="Times New Roman"/>
          <w:sz w:val="18"/>
          <w:szCs w:val="18"/>
          <w:b w:val="1"/>
          <w:bCs w:val="1"/>
          <w:color w:val="auto"/>
        </w:rPr>
      </w:pPr>
    </w:p>
    <w:p>
      <w:pPr>
        <w:jc w:val="both"/>
        <w:ind w:left="200" w:right="21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behalf of any person or entity on whose‎ behalf the nomination is being made, would be in compliance, if elected as a director of the‎ corporation, and will comply with, applicable law and all applicable publicly disclosed corporate‎</w:t>
      </w:r>
    </w:p>
    <w:p>
      <w:pPr>
        <w:ind w:left="200" w:right="219"/>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governance, conflict of interest, corporate opportunities, confidentiality and stock ownership‎ and trading policies and guidelines of the corporation‎.‎</w:t>
      </w:r>
    </w:p>
    <w:p>
      <w:pPr>
        <w:spacing w:after="0" w:line="177"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i w:val="1"/>
          <w:iCs w:val="1"/>
          <w:color w:val="auto"/>
        </w:rPr>
        <w:t>Removals.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preferential voting rights of the holders of preferred stock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of capital stock of the corporation or any series of any of the foregoing that is then outstanding at any meeting of stockholders called expressly for the purpose of removing a director or directors, each director may be removed from office at any time by the stockholders, with or without cause, by the affirmative vote of the holders of at least a majority of the voting power of all of the shares of the corporation entitled to vote for the election of such director.</w:t>
      </w:r>
    </w:p>
    <w:p>
      <w:pPr>
        <w:spacing w:after="0" w:line="179"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i w:val="1"/>
          <w:iCs w:val="1"/>
          <w:color w:val="auto"/>
        </w:rPr>
        <w:t>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preferential voting rights of the holders of preferred stock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class of capital stock of the corporation or any series of any of the foregoing that is then outstanding and except as otherwise required by law, all vacancies in the board of directors, whether caused by resignation, death or otherwise, may be filled by a majority of the remaining directors though less than a quorum;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vacancy resulting from an increase in the number of directors that is the result of a resolution adopted by the stockholders of the corporation may be filled by the stockholders of the corporation in accordance with the laws of the state of Delaware, any other applicable provisions of the certificate of incorporation and these bylaws. Each director so chosen</w:t>
      </w:r>
    </w:p>
    <w:p>
      <w:pPr>
        <w:sectPr>
          <w:pgSz w:w="11900" w:h="16838" w:orient="portrait"/>
          <w:cols w:equalWidth="0" w:num="1">
            <w:col w:w="9019"/>
          </w:cols>
          <w:pgMar w:left="1440" w:top="87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type w:val="continuous"/>
        </w:sectPr>
      </w:pPr>
    </w:p>
    <w:bookmarkStart w:id="24" w:name="page25"/>
    <w:bookmarkEnd w:id="24"/>
    <w:p>
      <w:pPr>
        <w:jc w:val="both"/>
        <w:ind w:left="200" w:right="239"/>
        <w:spacing w:after="0" w:line="282" w:lineRule="auto"/>
        <w:rPr>
          <w:sz w:val="20"/>
          <w:szCs w:val="20"/>
          <w:color w:val="auto"/>
        </w:rPr>
      </w:pPr>
      <w:r>
        <w:rPr>
          <w:rFonts w:ascii="Times New Roman" w:cs="Times New Roman" w:eastAsia="Times New Roman" w:hAnsi="Times New Roman"/>
          <w:sz w:val="18"/>
          <w:szCs w:val="18"/>
          <w:color w:val="auto"/>
        </w:rPr>
        <w:t>shall hold office for the unexpired term of his or her predecessor and until his or her successor is elected and qualified or until his or her earlier death, resignation or removal.</w:t>
      </w:r>
    </w:p>
    <w:p>
      <w:pPr>
        <w:spacing w:after="0" w:line="158"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meeting of the board of directors may be held without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after the annual meeting of stockholders at the location of the stockholders’ meeting. If not held immediately after the annual meeting of the stockholders, the annual meeting of the board of directors shall be held as soon thereafter as may be convenient.</w:t>
      </w:r>
    </w:p>
    <w:p>
      <w:pPr>
        <w:spacing w:after="0" w:line="176"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i w:val="1"/>
          <w:iCs w:val="1"/>
          <w:color w:val="auto"/>
        </w:rPr>
        <w:t>Other Meetings and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meetings of the board of directors may be held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notice at such time and at such place as shall from time to time be determined by the board of directors. Special meetings of the board of directors may be called by or at the request of the chair of the board, the vice chair of the board, the president or the chief executive officer and shall be called by the chair of the board on the written request of a majority of directors, in each case on at least twenty-four hours notice to each director.</w:t>
      </w:r>
    </w:p>
    <w:p>
      <w:pPr>
        <w:spacing w:after="0" w:line="179"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i w:val="1"/>
          <w:iCs w:val="1"/>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majority of the total number of directors shall be necessary at all meetings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quorum for the transaction of business. If a quorum shall not be present at any meeting of the board of directors, the directors present thereat may adjourn the meeting from time to time, without notice other than announcement at the meeting, until a quorum shall be present. At such adjourned meeting at which a quorum shall be present, any business may be transacted that might have been transacted at the meeting as originally notified and called.</w:t>
      </w:r>
    </w:p>
    <w:p>
      <w:pPr>
        <w:spacing w:after="0" w:line="182"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i w:val="1"/>
          <w:iCs w:val="1"/>
          <w:color w:val="auto"/>
        </w:rPr>
        <w:t>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or temporary committees consisting of one or more directors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may be appointed by the board of directors from time to time. The corporation hereby elects to be governed by Section 141(c)(2) of the Delaware General ‎Corporation Law and, as such, any such committee, to the extent provided in the resolution of ‎the board of directors, shall have and may exercise all the powers and authority of</w:t>
      </w:r>
    </w:p>
    <w:p>
      <w:pPr>
        <w:spacing w:after="0" w:line="3"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8"/>
          <w:szCs w:val="18"/>
          <w:color w:val="auto"/>
        </w:rPr>
        <w:t>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(other than the election ‎or removal of directors) expressly required by the Delaware General</w:t>
      </w:r>
    </w:p>
    <w:p>
      <w:pPr>
        <w:spacing w:after="0" w:line="2"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auto"/>
        </w:rPr>
        <w:t>Corporation Law to be submitted‎ to stockholders for approval or (ii) adopting, amending or repealing any bylaw of the ‎corporation. All committees so appointed shall keep regular minutes of the transactions of their meetings and shall cause them to be recorded in books kept for that purpose in the office of the corporation, and shall report the same to the board of directors at its next meeting. The board of directors may designate one or more directors as alternate members of any committee, who may replace any absent or disqualified member at any meeting of the committee. The board shall have the power at any time to change the membership of, to increase or decrease the membership of, to fill all vacancies in and to discharge any committee of the board, or any member thereof, either with or without cause.</w:t>
      </w:r>
    </w:p>
    <w:p>
      <w:pPr>
        <w:spacing w:after="0" w:line="40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i w:val="1"/>
          <w:iCs w:val="1"/>
          <w:color w:val="auto"/>
        </w:rPr>
        <w:t>Committee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committee of the board of directors may fix its own rules of procedure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hold its meetings as provided by such rules, except as may otherwise be provided by the resolution of the board of directors designating such committee, but in all cases the presence of at least a majority of the members of such committee shall be necessary to constitute a quorum.</w:t>
      </w:r>
    </w:p>
    <w:p>
      <w:pPr>
        <w:spacing w:after="0" w:line="17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i w:val="1"/>
          <w:iCs w:val="1"/>
          <w:color w:val="auto"/>
        </w:rPr>
        <w:t>Telephonic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board of directors or any committee designated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may participate in any meeting of the board of directors or such committee by means of a conference telephone or other electronic communications equipment by means of which all persons participating in the meeting can hear each other. Participation in such a meeting shall constitute presence in person at such meeting.</w:t>
      </w:r>
    </w:p>
    <w:p>
      <w:pPr>
        <w:spacing w:after="0" w:line="176"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i w:val="1"/>
          <w:iCs w:val="1"/>
          <w:color w:val="auto"/>
        </w:rPr>
        <w:t>Presumption of Assent.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director of the corporation who is present at a meeting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or any committee thereof at which action on any corporate matter is taken shall be deemed to have assented to the action taken unless his or her dissent shall be entered in the minutes of the meeting or unless he or she shall file his or her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pacing w:after="0" w:line="183"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i w:val="1"/>
          <w:iCs w:val="1"/>
          <w:color w:val="auto"/>
        </w:rPr>
        <w:t>Action Without a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required or permitted to be taken at any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or of any committee thereof may be taken without a meeting if all members of the board of directors</w:t>
      </w:r>
    </w:p>
    <w:p>
      <w:pPr>
        <w:sectPr>
          <w:pgSz w:w="11900" w:h="16838" w:orient="portrait"/>
          <w:cols w:equalWidth="0" w:num="1">
            <w:col w:w="9019"/>
          </w:cols>
          <w:pgMar w:left="1440" w:top="877"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25" w:name="page26"/>
    <w:bookmarkEnd w:id="25"/>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or such committee, as the case may be, consent thereto in writing or electronic transmission and the writing or writings or electronic transmission or transmissions are filed with the minutes of proceedings of the board of directors or committee. Action taken pursuant to such written consent of the board of directors or of any committee thereof shall have the same force and effect as if taken by the board of directors or the committee, as the case may be, at a meeting thereof.</w:t>
      </w:r>
    </w:p>
    <w:p>
      <w:pPr>
        <w:spacing w:after="0" w:line="179"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shall have the authority to fix the compensation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w:t>
      </w:r>
    </w:p>
    <w:p>
      <w:pPr>
        <w:spacing w:after="0" w:line="155"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3.14. </w:t>
      </w:r>
      <w:r>
        <w:rPr>
          <w:rFonts w:ascii="Times New Roman" w:cs="Times New Roman" w:eastAsia="Times New Roman" w:hAnsi="Times New Roman"/>
          <w:sz w:val="18"/>
          <w:szCs w:val="18"/>
          <w:b w:val="1"/>
          <w:bCs w:val="1"/>
          <w:i w:val="1"/>
          <w:iCs w:val="1"/>
          <w:color w:val="auto"/>
        </w:rPr>
        <w:t>Minutes.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shall cause to be kept regular minutes of its proceedings,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minutes shall be placed in the minute proceedings of the corporation (which may be maintained in paper or electronic form).</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p>
      <w:pPr>
        <w:spacing w:after="0" w:line="203"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i w:val="1"/>
          <w:iCs w:val="1"/>
          <w:color w:val="auto"/>
        </w:rPr>
        <w:t>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be a chair of the board, a vice chair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president, one or more vice presidents, a secretary, a treasurer, and such other officers and assistant officers as the board of directors may, by resolution, appoint. Any two or more offices may be held by the same person. In its discretion, the board of directors may choose not to fill any office for any period as it may deem advisable, except the offices of president and secretary.</w:t>
      </w:r>
    </w:p>
    <w:p>
      <w:pPr>
        <w:spacing w:after="0" w:line="179"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i w:val="1"/>
          <w:iCs w:val="1"/>
          <w:color w:val="auto"/>
        </w:rPr>
        <w:t>Election and Term of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be elected annually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at the annual meeting of the board of directors. If the election of officers shall not be held at such meeting, such election shall be held as soon thereafter as may be convenient. Each officer shall hold office until the next annual meeting of the board of directors and until his or her successor is duly elected and qualified or until his or her earlier death, resignation or removal as hereinafter provided.</w:t>
      </w:r>
    </w:p>
    <w:p>
      <w:pPr>
        <w:spacing w:after="0" w:line="17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i w:val="1"/>
          <w:iCs w:val="1"/>
          <w:color w:val="auto"/>
        </w:rPr>
        <w:t>The Chair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 of the board shall preside at all meetings of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directors. He or she shall have general and active management of the business of the corporation, shall see that all orders and resolutions of the board of directors are carried into effect and, in connection therewith, shall be authorized to delegate to the vice chair of the board, president and other officers such of his or her powers and duties as chair of the board at such time and in such manner as he or she may deem to be advisable. The chair of the board shall be an ex officio member of all standing committees and he or she shall have such other powers and duties as may from time to time be assigned by the board of directors. References in these bylaws to a chair of the board shall include references to persons designated by the board of directors with the title chairperson, chairman, chairwoman, chair or any similar title.</w:t>
      </w:r>
    </w:p>
    <w:p>
      <w:pPr>
        <w:spacing w:after="0" w:line="18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i w:val="1"/>
          <w:iCs w:val="1"/>
          <w:color w:val="auto"/>
        </w:rPr>
        <w:t>The Vice Chair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vice chair of the board shall assist the chair of the board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management of the business of the corporation, and, in the absence or disability of the chair of the board, shall preside at all meetings of the stockholders and the board of directors and exercise the other powers and perform the other duties of the chair of the board or designate the executive officers of the corporation by whom such other powers shall be exercised and other duties performed. The vice chair of the board shall be an ex officio member of all standing committees and he or she shall have such other powers and duties as may from time to time be assigned by the board of directors or by the chair of the board. In addition to the foregoing, the vice chair of the board shall have such other powers, duties and authority as may be set forth elsewhere in these bylaws. References in these bylaws to a vice chair of the board shall include references to persons designated by the board of directors with the title vice chairperson, vice chairman, vice chairwoman, vice chair or any similar title.</w:t>
      </w:r>
    </w:p>
    <w:p>
      <w:pPr>
        <w:spacing w:after="0" w:line="185"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i w:val="1"/>
          <w:iCs w:val="1"/>
          <w:color w:val="auto"/>
        </w:rPr>
        <w:t>The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president shall be the corporation’s chief operating officer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of directors. The president shall assist the chair of the board in the management of the business of the corporation, and, in the absence or disability of the chair of the board and the vice chair of the board, shall preside at all meetings of the stockholders and the board of directors and exercise the other powers and perform the other duties of the chair of the board or designate the executive officers of the corporation by whom such other powers shall be exercised and other duties performed. The president shall be an ex officio member of all standing committees and he or she shall have such other powers and duties as may from time to time be assigned by the board of directors or by the chair of the board. In addition to the foregoing, the president shall have such other powers,</w:t>
      </w:r>
    </w:p>
    <w:p>
      <w:pPr>
        <w:sectPr>
          <w:pgSz w:w="11900" w:h="16838" w:orient="portrait"/>
          <w:cols w:equalWidth="0" w:num="1">
            <w:col w:w="9019"/>
          </w:cols>
          <w:pgMar w:left="1440" w:top="87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26" w:name="page27"/>
    <w:bookmarkEnd w:id="26"/>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duties, and authority as may be set forth elsewhere in these bylaws. If the board of directors does not elect a chair or vice chair of the board, the president shall also have the duties and responsibilities, and exercise all functions, of the chair and the vice chair of the board as provided in these bylaws.</w:t>
      </w:r>
    </w:p>
    <w:p>
      <w:pPr>
        <w:spacing w:after="0" w:line="172"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i w:val="1"/>
          <w:iCs w:val="1"/>
          <w:color w:val="auto"/>
        </w:rPr>
        <w:t>The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may designate an individual, whether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such individual is an officer of the corporation, to serve as the chief executive officer of the corporation. The chief executive officer shall have the duties and responsibilities, and exercise all functions, as the board of directors may determine.</w:t>
      </w:r>
    </w:p>
    <w:p>
      <w:pPr>
        <w:spacing w:after="0" w:line="17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i w:val="1"/>
          <w:iCs w:val="1"/>
          <w:color w:val="auto"/>
        </w:rPr>
        <w:t>The 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may designate an individual, whether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such individual is an officer of the corporation, to serve as the chief financial officer of the corporation. The chief financial officer shall have the duties and responsibilities, and exercise all functions, as the board of directors may determine.</w:t>
      </w:r>
    </w:p>
    <w:p>
      <w:pPr>
        <w:spacing w:after="0" w:line="176" w:lineRule="exact"/>
        <w:rPr>
          <w:sz w:val="20"/>
          <w:szCs w:val="20"/>
          <w:color w:val="auto"/>
        </w:rPr>
      </w:pPr>
    </w:p>
    <w:p>
      <w:pPr>
        <w:jc w:val="both"/>
        <w:ind w:left="200" w:right="219"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i w:val="1"/>
          <w:iCs w:val="1"/>
          <w:color w:val="auto"/>
        </w:rPr>
        <w:t>Vice Presidents.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vice president shall have such powers and discharge such duties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assigned from time to time by the chair of the board, the vice chair of the board or the president. During the absence or disability of the president, first the chief executive officer and in the absence or disability of the chief executive officer, one such vice president, when designated by the board of directors, shall exercise all the functions of the president.</w:t>
      </w:r>
    </w:p>
    <w:p>
      <w:pPr>
        <w:spacing w:after="0" w:line="399"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i w:val="1"/>
          <w:iCs w:val="1"/>
          <w:color w:val="auto"/>
        </w:rPr>
        <w:t>The Secretary and Assistant Secretary</w:t>
      </w:r>
      <w:r>
        <w:rPr>
          <w:rFonts w:ascii="Times New Roman" w:cs="Times New Roman" w:eastAsia="Times New Roman" w:hAnsi="Times New Roman"/>
          <w:sz w:val="18"/>
          <w:szCs w:val="18"/>
          <w:color w:val="auto"/>
        </w:rPr>
        <w:t>. The secretary or the chair of the board shall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notices for all meetings. The secretary shall keep minutes of all meetings of the board of directors, the committees thereof and the stockholders, shall have charge of the seal and the corporate books and shall make such reports and perform such other duties as are incident to the office, and perform such other duties designated or properly required by the chair of the board, the vice chair of the board, the president or the chief executive officer. The secretary shall keep, or cause to be kept, at the principal executive office of the corporation or at the office of the corporation’s transfer agent or registrar,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 The assistant secretary shall be vested with the same powers and duties as the secretary, and any act may be done or duty performed by the assistant secretary with like effect as though done or performed by the secretary. The assistant secretary shall have such other powers and perform such other duties as may be assigned by the chair of the board, the vice chair of the board, the president or the chief executive officer.</w:t>
      </w:r>
    </w:p>
    <w:p>
      <w:pPr>
        <w:spacing w:after="0" w:line="187"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i w:val="1"/>
          <w:iCs w:val="1"/>
          <w:color w:val="auto"/>
        </w:rPr>
        <w:t>The Treasurer and Assistant Treasurer.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treasurer shall have the custody of all moneys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securities of the corporation and shall keep regular books of account. He or she shall disburse the funds of the corporation in payment of just demands against the corporation, or as may be ordered by the chair of the board, the vice chair of the board, the president, the chief executive officer or by the board of directors, taking proper vouchers for such disbursements, and shall render to the board of directors from time to time as may be required of him or her, an account of all transactions as treasurer and of the financial condition of the corporation. The treasurer shall perform all duties incident to the office, and perform such other duties designated or properly required by the chair of the board, the vice chair of the board, the president or the chief executive officer. The assistant treasurer shall be vested with the same powers and duties as the treasurer, and any act may be done, or duty performed by the assistant treasurer with like effect as though done or performed by the treasurer. The assistant treasurer shall have such other powers and perform such other duties as may be assigned by the chair of the board, the vice chair of the board, the president or the chief executive officer.</w:t>
      </w:r>
    </w:p>
    <w:p>
      <w:pPr>
        <w:spacing w:after="0" w:line="190"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i w:val="1"/>
          <w:iCs w:val="1"/>
          <w:color w:val="auto"/>
        </w:rPr>
        <w:t>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Vacancies in any office arising from any cause may be filled by the directors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unexpired portion of the term with a majority vote of the directors then in office. In the case of the absence or inability to act of any officer of the corporation and of any person herein authorized to act in his or her place, the board of directors may from time to time delegate the powers or duties of such officer to any other officer or any director or other person whom it may select.</w:t>
      </w:r>
    </w:p>
    <w:p>
      <w:pPr>
        <w:spacing w:after="0" w:line="179"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i w:val="1"/>
          <w:iCs w:val="1"/>
          <w:color w:val="auto"/>
        </w:rPr>
        <w:t>Other Officers, Assistant Officers and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assistant officers, and agents,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those whose duties are provided for in these bylaws shall hold their offices for such terms and shall exercise such powers and perform such duties as the board of directors may determine.</w:t>
      </w:r>
    </w:p>
    <w:p>
      <w:pPr>
        <w:sectPr>
          <w:pgSz w:w="11900" w:h="16838" w:orient="portrait"/>
          <w:cols w:equalWidth="0" w:num="1">
            <w:col w:w="9019"/>
          </w:cols>
          <w:pgMar w:left="1440" w:top="8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27" w:name="page28"/>
    <w:bookmarkEnd w:id="27"/>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i w:val="1"/>
          <w:iCs w:val="1"/>
          <w:color w:val="auto"/>
        </w:rPr>
        <w:t>Normal Duties and Responsibilities of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provided in these bylaws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decides otherwise, if an officer title is one commonly used for officers of a business corporation formed under the Delaware General Corporation Law or any successor or similar statute, the assignment of such title shall constitute the delegation to such officer of the authority and duties that are normally associated with that office, subject to any specific delegation of authority and duties made to such officer by the board of directors.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 OF DIRECTORS, OFFICERS AND OTHERS</w:t>
      </w:r>
    </w:p>
    <w:p>
      <w:pPr>
        <w:spacing w:after="0" w:line="203"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Delaware law, the corporation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any and all officers and directors of the corporation from and against all expenses (including attorneys’ fees), liabilities or other matters arising out of their status as such or their acts, omissions or services rendered by such persons in such capacities or otherwise while serving at the request of the corporation in any other capacity. Unless specifically addressed in a repeal or amendment of Delaware law with regard to a corporation’s ability to indemnify any such person, no such repeal or amendment shall adversely affect any indemnification rights of any such person existing at the time of such repeal or amendment.</w:t>
      </w:r>
    </w:p>
    <w:p>
      <w:pPr>
        <w:spacing w:after="0" w:line="183"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i w:val="1"/>
          <w:iCs w:val="1"/>
          <w:color w:val="auto"/>
        </w:rPr>
        <w:t>Advancement of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(including attorneys’ fees) incurred by a director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officer who was, is or is threatened to be made a named defendant or respondent in a proceeding by reason of his or her status as a director or officer of the corporation or services rendered by such persons in such capacities or otherwise at the request of the corporation or incurred by a director or officer for prosecuting a claim under </w:t>
      </w:r>
      <w:r>
        <w:rPr>
          <w:rFonts w:ascii="Times New Roman" w:cs="Times New Roman" w:eastAsia="Times New Roman" w:hAnsi="Times New Roman"/>
          <w:sz w:val="18"/>
          <w:szCs w:val="18"/>
          <w:b w:val="1"/>
          <w:bCs w:val="1"/>
          <w:color w:val="auto"/>
        </w:rPr>
        <w:t>Section 5.3</w:t>
      </w:r>
      <w:r>
        <w:rPr>
          <w:rFonts w:ascii="Times New Roman" w:cs="Times New Roman" w:eastAsia="Times New Roman" w:hAnsi="Times New Roman"/>
          <w:sz w:val="18"/>
          <w:szCs w:val="18"/>
          <w:color w:val="auto"/>
        </w:rPr>
        <w:t xml:space="preserve"> shall be paid by the corporation in advance of the final disposition of such proceeding upon receipt of a written undertaking by or on behalf of the director or officer to repay such amount if it shall ultimately be determined that he or she is not entitled to be indemnified by the corporation as authorized in this Article.</w:t>
      </w:r>
    </w:p>
    <w:p>
      <w:pPr>
        <w:spacing w:after="0" w:line="183"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i w:val="1"/>
          <w:iCs w:val="1"/>
          <w:color w:val="auto"/>
        </w:rPr>
        <w:t>Expenses of Contested Indemnification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claimant makes a claim on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5.2</w:t>
      </w:r>
      <w:r>
        <w:rPr>
          <w:rFonts w:ascii="Times New Roman" w:cs="Times New Roman" w:eastAsia="Times New Roman" w:hAnsi="Times New Roman"/>
          <w:sz w:val="18"/>
          <w:szCs w:val="18"/>
          <w:color w:val="auto"/>
        </w:rPr>
        <w:t xml:space="preserve"> and the corporation does not pay such claim in full within thirty days after it has received such written claim, the claimant may at any time thereafter bring suit against the corporation to recover the unpaid amount of the claim and, if successful in whole or in part, the claimant shall also be entitled to be paid also the expenses of prosecuting such claim. It shall be a defense to any such action that such indemnification of advancement of costs of defense are not permitted under the General Corporation Law of Delaware or other applicable law, but the burden of proving such defense shall be on the corporation. Neither the failure of the corporation (including its board of directors or any committee thereof, special legal counsel or stockholders) to have made its determination prior to the commencement of such action that indemnification of, or advancement of costs of defense to, the claimant is permissible in the circumstances nor an actual determination by the corporation (including its board of directors or any committee thereof, special legal counsel, or stockholders) that such indemnification or advancement is not permissible, shall be a defense to the action or create a presumption that such indemnification or advancement is not permissible.</w:t>
      </w:r>
    </w:p>
    <w:p>
      <w:pPr>
        <w:spacing w:after="0" w:line="190"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i w:val="1"/>
          <w:iCs w:val="1"/>
          <w:color w:val="auto"/>
        </w:rPr>
        <w:t>Indemnification Not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indemnification and advancement of expenses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or granted pursuant to, this Article shall not be deemed exclusive of any other rights to which those seeking indemnification or advancement of expenses may be entitled under any other bylaw, agreement, vote of stockholders or disinterested directors or otherwise, both as to action in his or her official capacity and as to action in another capacity while holding such office.</w:t>
      </w:r>
    </w:p>
    <w:p>
      <w:pPr>
        <w:spacing w:after="0" w:line="179"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i w:val="1"/>
          <w:iCs w:val="1"/>
          <w:color w:val="auto"/>
        </w:rPr>
        <w:t>Survival of Indemnification and Advancement of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indemnification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advancement of expenses provided by, or granted pursuant to, this Article shall continue as to a person who has ceased to be a director or officer and shall inure to the benefit of the heirs, executors and administrators of such person.</w:t>
      </w:r>
    </w:p>
    <w:p>
      <w:pPr>
        <w:spacing w:after="0" w:line="171"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i w:val="1"/>
          <w:iCs w:val="1"/>
          <w:color w:val="auto"/>
        </w:rPr>
        <w:t>Employees, Agents and 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of Delaware law, the corporation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rights of indemnification and advancement of expenses to any person who is not at the time a current director or officer of the corporation.</w:t>
      </w:r>
    </w:p>
    <w:p>
      <w:pPr>
        <w:spacing w:after="0" w:line="171"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i w:val="1"/>
          <w:iCs w:val="1"/>
          <w:color w:val="auto"/>
        </w:rPr>
        <w:t>Contract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rights of indemnification and advancement of expenses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or granted pursuant to, this Article shall be a contract right that will survive the termination of any person’s service as a director or officer and any repeal or amendment of the provisions of this Article shall not adversely affect any such right of any person existing at the time of such repeal or amendment with respect to any act or omission occurring</w:t>
      </w:r>
    </w:p>
    <w:p>
      <w:pPr>
        <w:sectPr>
          <w:pgSz w:w="11900" w:h="16838" w:orient="portrait"/>
          <w:cols w:equalWidth="0" w:num="1">
            <w:col w:w="9019"/>
          </w:cols>
          <w:pgMar w:left="1440" w:top="87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type w:val="continuous"/>
        </w:sectPr>
      </w:pPr>
    </w:p>
    <w:bookmarkStart w:id="28" w:name="page29"/>
    <w:bookmarkEnd w:id="28"/>
    <w:p>
      <w:pPr>
        <w:jc w:val="both"/>
        <w:ind w:left="200" w:right="219"/>
        <w:spacing w:after="0" w:line="282" w:lineRule="auto"/>
        <w:rPr>
          <w:sz w:val="20"/>
          <w:szCs w:val="20"/>
          <w:color w:val="auto"/>
        </w:rPr>
      </w:pPr>
      <w:r>
        <w:rPr>
          <w:rFonts w:ascii="Times New Roman" w:cs="Times New Roman" w:eastAsia="Times New Roman" w:hAnsi="Times New Roman"/>
          <w:sz w:val="18"/>
          <w:szCs w:val="18"/>
          <w:color w:val="auto"/>
        </w:rPr>
        <w:t>prior to the time of such repeal or amendment, and further, shall not apply to any proceeding, irrespective of when the proceeding is initiated, arising from the service of such person prior to such repeal or amendment.</w:t>
      </w:r>
    </w:p>
    <w:p>
      <w:pPr>
        <w:spacing w:after="0" w:line="158"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of Delaware law, the corporation shall have power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maintain insurance on behalf of any person, including one who is or was a director, officer, employee or agent of the corporation or is or was serving at the request of the corporation as a director, officer, employee or agent of another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or Delaware law.</w:t>
      </w:r>
    </w:p>
    <w:p>
      <w:pPr>
        <w:spacing w:after="0" w:line="182"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i w:val="1"/>
          <w:iCs w:val="1"/>
          <w:color w:val="auto"/>
        </w:rPr>
        <w:t>Certain References Under Article 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Article, references to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other enterprise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serving at the request of the corporation</w:t>
      </w:r>
      <w:r>
        <w:rPr>
          <w:rFonts w:ascii="Times New Roman" w:cs="Times New Roman" w:eastAsia="Times New Roman" w:hAnsi="Times New Roman"/>
          <w:sz w:val="18"/>
          <w:szCs w:val="18"/>
          <w:color w:val="auto"/>
        </w:rPr>
        <w:t>” shall have the meanings given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in Section 145 of the Delaware General Corporation Law or any successor or similar statute. As used herein, the term “</w:t>
      </w:r>
      <w:r>
        <w:rPr>
          <w:rFonts w:ascii="Times New Roman" w:cs="Times New Roman" w:eastAsia="Times New Roman" w:hAnsi="Times New Roman"/>
          <w:sz w:val="18"/>
          <w:szCs w:val="18"/>
          <w:i w:val="1"/>
          <w:iCs w:val="1"/>
          <w:color w:val="auto"/>
        </w:rPr>
        <w:t>proceeding</w:t>
      </w:r>
      <w:r>
        <w:rPr>
          <w:rFonts w:ascii="Times New Roman" w:cs="Times New Roman" w:eastAsia="Times New Roman" w:hAnsi="Times New Roman"/>
          <w:sz w:val="18"/>
          <w:szCs w:val="18"/>
          <w:color w:val="auto"/>
        </w:rPr>
        <w:t>” means any threatened, pending or completed action, suit or proceeding, whether civil, criminal, administrative, arbitrative or investigative, any appeal in such an action, suit or proceeding, and any inquiry or investigation that could lead to such an action, suit or proceeding.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STOCK CERTIFICATES</w:t>
      </w:r>
    </w:p>
    <w:p>
      <w:pPr>
        <w:spacing w:after="0" w:line="203"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i w:val="1"/>
          <w:iCs w:val="1"/>
          <w:color w:val="auto"/>
        </w:rPr>
        <w: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stock of the corporation shall be represented by certificates, or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uncertificated shares. Every holder of uncertificated shares of the corporation shall be entitled upon request to have a stock certificate issued to such holder signed by the chair of the board, the president, the chief executive officer or any vice president and the secretary, any assistant secretary, the treasurer or any assistant treasurer, certifying to the number of shares owned by such stockholder. Where, however, such certificate is signed by a transfer agent or an assistant transfer agent or by a transfer clerk acting on behalf of the corporation, and a registrar or by an agent acting in the dual capacity of transfer agent and registrar, the signatures of any of the above-named officers may be facsimile signatures. In the event that any officer who has signed, or whose facsimile signature has been used on, a certificate ceases to be an officer before the certificate has been delivered, such certificate may nevertheless be adopted and issued and delivered by the corporation, as though the officer who signed such certificate or certificates, or whose facsimile signature or signatures shall have been used thereon, had not ceased to be such officer of the corporation. All certificates for shares shall be consecutively numbered or otherwise identified. The name of the person to whom either certificated or uncertificated shares are issued, with the number of shares and date of issue, shall be entered on the books of the corporation. Notwithstanding any other provision in these bylaws, the corporation may adopt a system of issuance, recordation and transfer of its shares by electronic or other means not involving any issuance of certificates, including provisions for notice to purchasers in substitution for any required statements or certificates, and as may be required by applicable law, which system has been approved by the U.S. Securities and Exchange Commission. Any system so adopted shall not become effective as to issued and outstanding certificated securities until the certificates therefor have been surrendered to the corporation.</w:t>
      </w:r>
    </w:p>
    <w:p>
      <w:pPr>
        <w:spacing w:after="0" w:line="191"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i w:val="1"/>
          <w:iCs w:val="1"/>
          <w:color w:val="auto"/>
        </w:rPr>
        <w:t>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of stock shall be made only upon the transfer books of the 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transfer agents designated to transfer the several classes of stock and, in the case of shares represented by a certificate or certificates, upon the surrender of a properly endorsed certificate or certificates for a like number of shares.</w:t>
      </w:r>
    </w:p>
    <w:p>
      <w:pPr>
        <w:spacing w:after="0" w:line="176"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i w:val="1"/>
          <w:iCs w:val="1"/>
          <w:color w:val="auto"/>
        </w:rPr>
        <w:t>Lost or Destroyed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issue a new stock certificate in place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certificate theretofore issued by it, alleged to have been lost, stolen or destroyed, and the corporation shall, except as otherwise determined by the board of directors, the chair of the board, the president, the chief executive officer any vice president or other authorized officer, require the owner of the lost, stolen or destroyed certificate, or his or her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83"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b w:val="1"/>
          <w:bCs w:val="1"/>
          <w:i w:val="1"/>
          <w:iCs w:val="1"/>
          <w:color w:val="auto"/>
        </w:rPr>
        <w:t>Registered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be entitled to recognize the exclusive right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shares on the part of another person, whether or not the</w:t>
      </w:r>
    </w:p>
    <w:p>
      <w:pPr>
        <w:sectPr>
          <w:pgSz w:w="11900" w:h="16838" w:orient="portrait"/>
          <w:cols w:equalWidth="0" w:num="1">
            <w:col w:w="9019"/>
          </w:cols>
          <w:pgMar w:left="1440" w:top="877"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29" w:name="page30"/>
    <w:bookmarkEnd w:id="29"/>
    <w:p>
      <w:pPr>
        <w:jc w:val="both"/>
        <w:ind w:left="200" w:right="219"/>
        <w:spacing w:after="0" w:line="284" w:lineRule="auto"/>
        <w:rPr>
          <w:sz w:val="20"/>
          <w:szCs w:val="20"/>
          <w:color w:val="auto"/>
        </w:rPr>
      </w:pPr>
      <w:r>
        <w:rPr>
          <w:rFonts w:ascii="Times New Roman" w:cs="Times New Roman" w:eastAsia="Times New Roman" w:hAnsi="Times New Roman"/>
          <w:sz w:val="18"/>
          <w:szCs w:val="18"/>
          <w:color w:val="auto"/>
        </w:rPr>
        <w:t xml:space="preserve">corporation shall have express or other notice thereof,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as otherwise provided by the laws of the state of Delaware.</w:t>
      </w:r>
    </w:p>
    <w:p>
      <w:pPr>
        <w:spacing w:after="0" w:line="156"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6.5. </w:t>
      </w:r>
      <w:r>
        <w:rPr>
          <w:rFonts w:ascii="Times New Roman" w:cs="Times New Roman" w:eastAsia="Times New Roman" w:hAnsi="Times New Roman"/>
          <w:sz w:val="18"/>
          <w:szCs w:val="18"/>
          <w:b w:val="1"/>
          <w:bCs w:val="1"/>
          <w:i w:val="1"/>
          <w:iCs w:val="1"/>
          <w:color w:val="auto"/>
        </w:rPr>
        <w:t>Restrictions on Transfers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any restriction on the transfer of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stock shall be placed on each certificate of stock issued, or in the case of uncertificated shares, contained in the notice sent to the registered holder of such shares in accordance with the laws of the state of Delaware.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CERTAIN BUSINESS COMBINATIONS</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provision of Section 203 of the Delaware General Corporation Law shall not apply to the corporation.</w:t>
      </w:r>
    </w:p>
    <w:p>
      <w:pPr>
        <w:spacing w:after="0" w:line="225"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This Article VII shall be amended, altered or repealed only as provided in Section 203 of the Delaware General Corporation Law.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GENERAL PROVISIONS</w:t>
      </w:r>
    </w:p>
    <w:p>
      <w:pPr>
        <w:spacing w:after="0" w:line="20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upon the capital stock of the corporation, subject to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certificate of incorporation, may be declared by the board of directors at any regular or special meeting, pursuant to law. Dividends may be paid in cash, in property or in shares of the capital stock, subject to the applicable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in the best interest of the corporation, and the directors may modify or abolish any such reserve in the manner in which it was created.</w:t>
      </w:r>
    </w:p>
    <w:p>
      <w:pPr>
        <w:spacing w:after="0" w:line="18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i w:val="1"/>
          <w:iCs w:val="1"/>
          <w:color w:val="auto"/>
        </w:rPr>
        <w:t>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 of the board, vice chair of the board, president, the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vice president is authorized for and on behalf of the corporation: to establish, maintain and to close depositary accounts, in the corporation’s name, for the deposit and withdrawal of corporation funds; to designate those individuals authorized to withdraw funds or sign checks in said depositary accounts; and to execute customer agreements with respect to such depositary accounts, including forms of corporate resolutions, certified with respect to the approval of the board of directors as of the date such forms of corporate resolutions are executed. The secretary or assistant secretary is, authorized for and on behalf of the corporation without further action of the board of directors to certify as to the approval of the board of directors of forms of resolutions regarding any of such depositary or trading accounts as of the date the officer of the corporation executes the customer agreement with respect to each such account.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NOTICES</w:t>
      </w:r>
    </w:p>
    <w:p>
      <w:pPr>
        <w:spacing w:after="0" w:line="20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Written notice to stockholders of stockholder meetings shall be given as provided in</w:t>
      </w:r>
      <w:r>
        <w:rPr>
          <w:rFonts w:ascii="Times New Roman" w:cs="Times New Roman" w:eastAsia="Times New Roman" w:hAnsi="Times New Roman"/>
          <w:sz w:val="18"/>
          <w:szCs w:val="18"/>
          <w:b w:val="1"/>
          <w:bCs w:val="1"/>
          <w:color w:val="auto"/>
        </w:rPr>
        <w:t xml:space="preserve"> Section 2.3 </w:t>
      </w:r>
      <w:r>
        <w:rPr>
          <w:rFonts w:ascii="Times New Roman" w:cs="Times New Roman" w:eastAsia="Times New Roman" w:hAnsi="Times New Roman"/>
          <w:sz w:val="18"/>
          <w:szCs w:val="18"/>
          <w:color w:val="auto"/>
        </w:rPr>
        <w:t>herein. Without limiting the manner by which notice may otherwise be given effectively to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agreement or contract with such stockholder, and except as otherwise required by law, written notice to stockholders for purposes other than stockholder meetings may be sent by U.S. mail or nationally recognized overnight courier, or by facsimile or by electronic mail or other electronic means. Whenever the provisions of any statute or these bylaws require notice to be given to any director, such notice may be given by the method stated in the previous sentence, except that such notice other than one that is delivered personally shall be sent to such address as such director shall have filed in writing with the secretary, or, in the absence of such filing, to the last known post office address of such director.</w:t>
      </w:r>
    </w:p>
    <w:p>
      <w:pPr>
        <w:spacing w:after="0" w:line="188"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b w:val="1"/>
          <w:bCs w:val="1"/>
          <w:i w:val="1"/>
          <w:iCs w:val="1"/>
          <w:color w:val="auto"/>
        </w:rPr>
        <w:t>Waivers.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any notice whatever is required to be given under provisions of law 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certificate of incorporation or of these bylaws, a waiver thereof in writing signed by the person or persons entitled to said notice or a waiver by electronic transmission, whether before or after the time stated therein, shall be deemed equivalent to the giving of such notice.</w:t>
      </w:r>
    </w:p>
    <w:p>
      <w:pPr>
        <w:sectPr>
          <w:pgSz w:w="11900" w:h="16838" w:orient="portrait"/>
          <w:cols w:equalWidth="0" w:num="1">
            <w:col w:w="9019"/>
          </w:cols>
          <w:pgMar w:left="1440" w:top="8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type w:val="continuous"/>
        </w:sectPr>
      </w:pPr>
    </w:p>
    <w:bookmarkStart w:id="30" w:name="page31"/>
    <w:bookmarkEnd w:id="30"/>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9.3. </w:t>
      </w:r>
      <w:r>
        <w:rPr>
          <w:rFonts w:ascii="Times New Roman" w:cs="Times New Roman" w:eastAsia="Times New Roman" w:hAnsi="Times New Roman"/>
          <w:sz w:val="18"/>
          <w:szCs w:val="18"/>
          <w:b w:val="1"/>
          <w:bCs w:val="1"/>
          <w:i w:val="1"/>
          <w:iCs w:val="1"/>
          <w:color w:val="auto"/>
        </w:rPr>
        <w:t>Attendance as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Attendance of a person at a meeting shall constitute a waiver of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meeting, except where a person attends a meeting for the express purpose of objecting at the beginning of the meeting to the transaction of any business because the meeting is not lawfully called or convened.</w:t>
      </w:r>
    </w:p>
    <w:p>
      <w:pPr>
        <w:spacing w:after="0" w:line="171" w:lineRule="exact"/>
        <w:rPr>
          <w:sz w:val="20"/>
          <w:szCs w:val="20"/>
          <w:color w:val="auto"/>
        </w:rPr>
      </w:pPr>
    </w:p>
    <w:p>
      <w:pPr>
        <w:jc w:val="both"/>
        <w:ind w:left="200" w:right="2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9.4. </w:t>
      </w:r>
      <w:r>
        <w:rPr>
          <w:rFonts w:ascii="Times New Roman" w:cs="Times New Roman" w:eastAsia="Times New Roman" w:hAnsi="Times New Roman"/>
          <w:sz w:val="18"/>
          <w:szCs w:val="18"/>
          <w:b w:val="1"/>
          <w:bCs w:val="1"/>
          <w:i w:val="1"/>
          <w:iCs w:val="1"/>
          <w:color w:val="auto"/>
        </w:rPr>
        <w:t>Omission of Notice to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required to be given to any stockholder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statutory provision, the certificate of incorporation or these bylaws need not be given to the stockholder if:</w:t>
      </w:r>
    </w:p>
    <w:p>
      <w:pPr>
        <w:spacing w:after="0" w:line="159" w:lineRule="exact"/>
        <w:rPr>
          <w:sz w:val="20"/>
          <w:szCs w:val="20"/>
          <w:color w:val="auto"/>
        </w:rPr>
      </w:pPr>
    </w:p>
    <w:p>
      <w:pPr>
        <w:jc w:val="both"/>
        <w:ind w:left="860" w:right="219" w:firstLine="645"/>
        <w:spacing w:after="0" w:line="266" w:lineRule="auto"/>
        <w:tabs>
          <w:tab w:leader="none" w:pos="215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notice of two consecutive annual meetings and all notices of meetings held or the takings of action by written consent without a meeting to such stockholder taken during the period between those annual meetings, or</w:t>
      </w:r>
    </w:p>
    <w:p>
      <w:pPr>
        <w:spacing w:after="0" w:line="175" w:lineRule="exact"/>
        <w:rPr>
          <w:rFonts w:ascii="Times New Roman" w:cs="Times New Roman" w:eastAsia="Times New Roman" w:hAnsi="Times New Roman"/>
          <w:sz w:val="18"/>
          <w:szCs w:val="18"/>
          <w:b w:val="1"/>
          <w:bCs w:val="1"/>
          <w:color w:val="auto"/>
        </w:rPr>
      </w:pPr>
    </w:p>
    <w:p>
      <w:pPr>
        <w:ind w:left="860" w:right="219" w:firstLine="645"/>
        <w:spacing w:after="0" w:line="282" w:lineRule="auto"/>
        <w:tabs>
          <w:tab w:leader="none" w:pos="215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and at least two, payments (if sent by first class mail) of distributions or interest on securities during a twelve-month period,</w:t>
      </w:r>
    </w:p>
    <w:p>
      <w:pPr>
        <w:spacing w:after="0" w:line="162"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have been mailed to that person, addressed at his or her address as shown on the share transfer records of the corporation, and have been returned undeliverable. Any action or meeting taken or held without notice to such a person shall have the same force and effect as if the notice had been duly given. If such a person delivers to the corporation a written notice setting forth his or her then current address, the requirement that notice be given to that person shall be reinstated.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03"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i w:val="1"/>
          <w:iCs w:val="1"/>
          <w:color w:val="auto"/>
        </w:rPr>
        <w:t>Delaware Forum.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corporation consents in writing to the selection of an alternative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forum, the Court of Chancery of the State of Delaware (or, if such court does not have subject matter jurisdiction, the federal district court of the State of Delaware) shall, to the fullest extent permitted by law, be the sole and exclusive forum for: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any derivative action or proceeding brought on behalf of the corporation,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any action asserting a claim for or based on a breach of a fiduciary duty owed by any current or former director, officer, other employee, agent or stockholder of the corporation to the corporation or the corporation’s stockholders, including without limitation a claim alleging the aiding and abetting of such a breach of fiduciary duty,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any action asserting a claim against the corporation or any current or former director, officer, employee, agent or stockholder of the corporation arising pursuant to any provision of the Delaware General Corporation Law or the certificate of incorporation or bylaws or as to which the Delaware General Corporation Law confers jurisdiction on the Court of Chancery of the State of Delaware, or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any action asserting a claim related to or involving the corporation that is governed by the internal affairs doctrine.</w:t>
      </w:r>
    </w:p>
    <w:p>
      <w:pPr>
        <w:spacing w:after="0" w:line="19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b w:val="1"/>
          <w:bCs w:val="1"/>
          <w:i w:val="1"/>
          <w:iCs w:val="1"/>
          <w:color w:val="auto"/>
        </w:rPr>
        <w:t>Securities Act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corporation consents in writing to the selection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alternative forum, the federal district courts of the United States of America shall, to the fullest extent permitted by law, be the sole and exclusive forum for the resolution of any complaint asserting a cause of action arising under the Securities Act of 1933, as amended, and the rules and regulations promulgated thereunder.</w:t>
      </w:r>
    </w:p>
    <w:p>
      <w:pPr>
        <w:spacing w:after="0" w:line="176"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10.3. </w:t>
      </w:r>
      <w:r>
        <w:rPr>
          <w:rFonts w:ascii="Times New Roman" w:cs="Times New Roman" w:eastAsia="Times New Roman" w:hAnsi="Times New Roman"/>
          <w:sz w:val="18"/>
          <w:szCs w:val="18"/>
          <w:b w:val="1"/>
          <w:bCs w:val="1"/>
          <w:i w:val="1"/>
          <w:iCs w:val="1"/>
          <w:color w:val="auto"/>
        </w:rPr>
        <w:t>Notice and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or entity purchasing or otherwise acquiring or holding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shares of capital stock of the corporation shall be deemed to have notice of and consented to the provisions of this Article X.</w:t>
      </w:r>
    </w:p>
    <w:p>
      <w:pPr>
        <w:spacing w:after="0" w:line="171"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10.4. </w:t>
      </w:r>
      <w:r>
        <w:rPr>
          <w:rFonts w:ascii="Times New Roman" w:cs="Times New Roman" w:eastAsia="Times New Roman" w:hAnsi="Times New Roman"/>
          <w:sz w:val="18"/>
          <w:szCs w:val="18"/>
          <w:b w:val="1"/>
          <w:bCs w:val="1"/>
          <w:i w:val="1"/>
          <w:iCs w:val="1"/>
          <w:color w:val="auto"/>
        </w:rPr>
        <w:t>Injunctive Relief.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Failure to enforce the foregoing provisions would cause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irreparable harm, and the corporation shall be entitled to equitable relief, including injunctive relief and specific performance, to enforce the foregoing provisions.</w:t>
      </w:r>
    </w:p>
    <w:p>
      <w:pPr>
        <w:spacing w:after="0" w:line="1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ADOPTED BY THE BOARD OF DIRECTORS AS OF</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MAY 15, 2026</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 Jane Grimm​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-7620</wp:posOffset>
            </wp:positionV>
            <wp:extent cx="3448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4805" cy="8890"/>
                    </a:xfrm>
                    <a:prstGeom prst="rect">
                      <a:avLst/>
                    </a:prstGeom>
                    <a:noFill/>
                  </pic:spPr>
                </pic:pic>
              </a:graphicData>
            </a:graphic>
          </wp:anchor>
        </w:drawing>
      </w:r>
    </w:p>
    <w:p>
      <w:pPr>
        <w:spacing w:after="0" w:line="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i w:val="1"/>
          <w:iCs w:val="1"/>
          <w:color w:val="auto"/>
        </w:rPr>
        <w:t>Jane R. Grimm,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1" w:name="page32"/>
    <w:bookmarkEnd w:id="31"/>
    <w:p>
      <w:pPr>
        <w:jc w:val="right"/>
        <w:ind w:right="219"/>
        <w:spacing w:after="0"/>
        <w:rPr>
          <w:sz w:val="20"/>
          <w:szCs w:val="20"/>
          <w:color w:val="auto"/>
        </w:rPr>
      </w:pPr>
      <w:r>
        <w:rPr>
          <w:rFonts w:ascii="Times New Roman" w:cs="Times New Roman" w:eastAsia="Times New Roman" w:hAnsi="Times New Roman"/>
          <w:sz w:val="22"/>
          <w:szCs w:val="22"/>
          <w:color w:val="auto"/>
        </w:rPr>
        <w:t>Exhibit 4.1</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NLI Holdings,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Description of Capital Stock</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May 26, 2026</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General</w:t>
      </w:r>
    </w:p>
    <w:p>
      <w:pPr>
        <w:spacing w:after="0" w:line="226" w:lineRule="exact"/>
        <w:rPr>
          <w:sz w:val="20"/>
          <w:szCs w:val="20"/>
          <w:color w:val="auto"/>
        </w:rPr>
      </w:pPr>
    </w:p>
    <w:p>
      <w:pPr>
        <w:jc w:val="both"/>
        <w:ind w:left="200" w:right="219" w:firstLine="441"/>
        <w:spacing w:after="0" w:line="257" w:lineRule="auto"/>
        <w:rPr>
          <w:sz w:val="20"/>
          <w:szCs w:val="20"/>
          <w:color w:val="auto"/>
        </w:rPr>
      </w:pPr>
      <w:r>
        <w:rPr>
          <w:rFonts w:ascii="Times New Roman" w:cs="Times New Roman" w:eastAsia="Times New Roman" w:hAnsi="Times New Roman"/>
          <w:sz w:val="22"/>
          <w:szCs w:val="22"/>
          <w:color w:val="auto"/>
        </w:rPr>
        <w:t>Our certificate of incorporation authorizes the issuance of 155,000,000 shares of all classes of stock, consisting of 150,000,000 shares of common stock, $.125 par value per share, and 5,000,000 shares of preferred stock, without par value.</w:t>
      </w:r>
    </w:p>
    <w:p>
      <w:pPr>
        <w:spacing w:after="0" w:line="173" w:lineRule="exact"/>
        <w:rPr>
          <w:sz w:val="20"/>
          <w:szCs w:val="20"/>
          <w:color w:val="auto"/>
        </w:rPr>
      </w:pPr>
    </w:p>
    <w:p>
      <w:pPr>
        <w:jc w:val="both"/>
        <w:ind w:left="200" w:right="219" w:firstLine="441"/>
        <w:spacing w:after="0" w:line="295" w:lineRule="auto"/>
        <w:rPr>
          <w:sz w:val="20"/>
          <w:szCs w:val="20"/>
          <w:color w:val="auto"/>
        </w:rPr>
      </w:pPr>
      <w:r>
        <w:rPr>
          <w:rFonts w:ascii="Times New Roman" w:cs="Times New Roman" w:eastAsia="Times New Roman" w:hAnsi="Times New Roman"/>
          <w:sz w:val="21"/>
          <w:szCs w:val="21"/>
          <w:color w:val="auto"/>
        </w:rPr>
        <w:t>The following description of our capital stock is intended as a summary and is qualified in its entirety by reference to our certificate of incorporation, our bylaws and to Delaware corporate law.</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Common Stock</w:t>
      </w:r>
    </w:p>
    <w:p>
      <w:pPr>
        <w:spacing w:after="0" w:line="222" w:lineRule="exact"/>
        <w:rPr>
          <w:sz w:val="20"/>
          <w:szCs w:val="20"/>
          <w:color w:val="auto"/>
        </w:rPr>
      </w:pPr>
    </w:p>
    <w:p>
      <w:pPr>
        <w:jc w:val="both"/>
        <w:ind w:left="200" w:right="239" w:firstLine="441"/>
        <w:spacing w:after="0" w:line="275" w:lineRule="auto"/>
        <w:rPr>
          <w:sz w:val="20"/>
          <w:szCs w:val="20"/>
          <w:color w:val="auto"/>
        </w:rPr>
      </w:pPr>
      <w:r>
        <w:rPr>
          <w:rFonts w:ascii="Times New Roman" w:cs="Times New Roman" w:eastAsia="Times New Roman" w:hAnsi="Times New Roman"/>
          <w:sz w:val="22"/>
          <w:szCs w:val="22"/>
          <w:i w:val="1"/>
          <w:iCs w:val="1"/>
          <w:color w:val="auto"/>
        </w:rPr>
        <w:t>Common Stock Outstanding</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of May 26, 2026, there were 48,898,734 shares of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common stock issued and outstanding.</w:t>
      </w:r>
    </w:p>
    <w:p>
      <w:pPr>
        <w:spacing w:after="0" w:line="149" w:lineRule="exact"/>
        <w:rPr>
          <w:sz w:val="20"/>
          <w:szCs w:val="20"/>
          <w:color w:val="auto"/>
        </w:rPr>
      </w:pPr>
    </w:p>
    <w:p>
      <w:pPr>
        <w:jc w:val="both"/>
        <w:ind w:left="200" w:right="219" w:firstLine="441"/>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Voting Rights. </w:t>
      </w:r>
      <w:r>
        <w:rPr>
          <w:rFonts w:ascii="Times New Roman" w:cs="Times New Roman" w:eastAsia="Times New Roman" w:hAnsi="Times New Roman"/>
          <w:sz w:val="22"/>
          <w:szCs w:val="22"/>
          <w:color w:val="auto"/>
        </w:rPr>
        <w:t>Each holder of our common stock is entitled to one vote for each share of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common stock held of record on the applicable record date on all matters submitted to a vote of our stockholders.</w:t>
      </w:r>
    </w:p>
    <w:p>
      <w:pPr>
        <w:spacing w:after="0" w:line="161" w:lineRule="exact"/>
        <w:rPr>
          <w:sz w:val="20"/>
          <w:szCs w:val="20"/>
          <w:color w:val="auto"/>
        </w:rPr>
      </w:pPr>
    </w:p>
    <w:p>
      <w:pPr>
        <w:jc w:val="both"/>
        <w:ind w:left="200" w:right="219" w:firstLine="441"/>
        <w:spacing w:after="0" w:line="253" w:lineRule="auto"/>
        <w:rPr>
          <w:sz w:val="20"/>
          <w:szCs w:val="20"/>
          <w:color w:val="auto"/>
        </w:rPr>
      </w:pPr>
      <w:r>
        <w:rPr>
          <w:rFonts w:ascii="Times New Roman" w:cs="Times New Roman" w:eastAsia="Times New Roman" w:hAnsi="Times New Roman"/>
          <w:sz w:val="22"/>
          <w:szCs w:val="22"/>
          <w:i w:val="1"/>
          <w:iCs w:val="1"/>
          <w:color w:val="auto"/>
        </w:rPr>
        <w:t>Dividend Rights</w:t>
      </w:r>
      <w:r>
        <w:rPr>
          <w:rFonts w:ascii="Times New Roman" w:cs="Times New Roman" w:eastAsia="Times New Roman" w:hAnsi="Times New Roman"/>
          <w:sz w:val="22"/>
          <w:szCs w:val="22"/>
          <w:color w:val="auto"/>
        </w:rPr>
        <w:t>. Holders of our common stock are entitled to receive such dividends as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declared from time to time by our board of directors out of funds legally available for dividends, subject to any preferential dividend rights granted to the holders of any outstanding shares of preferred stock.</w:t>
      </w:r>
    </w:p>
    <w:p>
      <w:pPr>
        <w:spacing w:after="0" w:line="175" w:lineRule="exact"/>
        <w:rPr>
          <w:sz w:val="20"/>
          <w:szCs w:val="20"/>
          <w:color w:val="auto"/>
        </w:rPr>
      </w:pPr>
    </w:p>
    <w:p>
      <w:pPr>
        <w:jc w:val="both"/>
        <w:ind w:left="200" w:right="219" w:firstLine="441"/>
        <w:spacing w:after="0" w:line="253" w:lineRule="auto"/>
        <w:rPr>
          <w:sz w:val="20"/>
          <w:szCs w:val="20"/>
          <w:color w:val="auto"/>
        </w:rPr>
      </w:pPr>
      <w:r>
        <w:rPr>
          <w:rFonts w:ascii="Times New Roman" w:cs="Times New Roman" w:eastAsia="Times New Roman" w:hAnsi="Times New Roman"/>
          <w:sz w:val="22"/>
          <w:szCs w:val="22"/>
          <w:i w:val="1"/>
          <w:iCs w:val="1"/>
          <w:color w:val="auto"/>
        </w:rPr>
        <w:t>Rights upon Liquidation</w:t>
      </w:r>
      <w:r>
        <w:rPr>
          <w:rFonts w:ascii="Times New Roman" w:cs="Times New Roman" w:eastAsia="Times New Roman" w:hAnsi="Times New Roman"/>
          <w:sz w:val="22"/>
          <w:szCs w:val="22"/>
          <w:color w:val="auto"/>
        </w:rPr>
        <w:t>. Holders of our common stock are entitled to share pro rata,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our liquidation, dissolution or winding up, in all remaining assets available for distribution to stockholders after payment of or provision for our liabilities and the liquidation preference of any outstanding preferred stock of ours at that time.</w:t>
      </w:r>
    </w:p>
    <w:p>
      <w:pPr>
        <w:spacing w:after="0" w:line="175" w:lineRule="exact"/>
        <w:rPr>
          <w:sz w:val="20"/>
          <w:szCs w:val="20"/>
          <w:color w:val="auto"/>
        </w:rPr>
      </w:pPr>
    </w:p>
    <w:p>
      <w:pPr>
        <w:jc w:val="both"/>
        <w:ind w:left="200" w:right="219" w:firstLine="441"/>
        <w:spacing w:after="0" w:line="259" w:lineRule="auto"/>
        <w:rPr>
          <w:sz w:val="20"/>
          <w:szCs w:val="20"/>
          <w:color w:val="auto"/>
        </w:rPr>
      </w:pPr>
      <w:r>
        <w:rPr>
          <w:rFonts w:ascii="Times New Roman" w:cs="Times New Roman" w:eastAsia="Times New Roman" w:hAnsi="Times New Roman"/>
          <w:sz w:val="22"/>
          <w:szCs w:val="22"/>
          <w:i w:val="1"/>
          <w:iCs w:val="1"/>
          <w:color w:val="auto"/>
        </w:rPr>
        <w:t>No Preemptive Rights</w:t>
      </w:r>
      <w:r>
        <w:rPr>
          <w:rFonts w:ascii="Times New Roman" w:cs="Times New Roman" w:eastAsia="Times New Roman" w:hAnsi="Times New Roman"/>
          <w:sz w:val="22"/>
          <w:szCs w:val="22"/>
          <w:color w:val="auto"/>
        </w:rPr>
        <w:t>. Holders of our common stock have no preemptive rights to 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subscribe for or otherwise acquire any unissued or treasury shares of our common stock or any of our other securities.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Preferred Stock</w:t>
      </w:r>
    </w:p>
    <w:p>
      <w:pPr>
        <w:spacing w:after="0" w:line="226" w:lineRule="exact"/>
        <w:rPr>
          <w:sz w:val="20"/>
          <w:szCs w:val="20"/>
          <w:color w:val="auto"/>
        </w:rPr>
      </w:pPr>
    </w:p>
    <w:p>
      <w:pPr>
        <w:jc w:val="both"/>
        <w:ind w:left="200" w:right="219" w:firstLine="441"/>
        <w:spacing w:after="0" w:line="258" w:lineRule="auto"/>
        <w:rPr>
          <w:sz w:val="20"/>
          <w:szCs w:val="20"/>
          <w:color w:val="auto"/>
        </w:rPr>
      </w:pPr>
      <w:r>
        <w:rPr>
          <w:rFonts w:ascii="Times New Roman" w:cs="Times New Roman" w:eastAsia="Times New Roman" w:hAnsi="Times New Roman"/>
          <w:sz w:val="21"/>
          <w:szCs w:val="21"/>
          <w:color w:val="auto"/>
        </w:rPr>
        <w:t>Under our certificate of incorporation, our board of directors has the authority, without stockholder approval, to create one or more classes or series within a class of preferred stock, to issue up to 5 million shares of preferred stock in such class or series up to the maximum number of shares of the relevant class or series of preferred stock authorized, and to determine the preferences, rights, privileges and restrictions of any such class or series, including the dividend rights, voting rights, the rights and terms of redemption, the rights and terms of conversion, liquidation preferences, the number of shares constituting any such class or series and the designation of such class or series. Acting under this authority, our board of directors could create and issue a class or series of preferred stock with rights, privileges or restrictions, and adopt a stockholder rights plan, having the effect of discriminating against an existing or prospective holder of securities as a result of such stockholder beneficially owning or commencing a 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655955</wp:posOffset>
            </wp:positionV>
            <wp:extent cx="545211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2" w:name="page33"/>
    <w:bookmarkEnd w:id="32"/>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offer for a substantial amount of our common stock. One of the effects of authorized but unissued and unreserved shares of preferred stock may be to issue shares of preferred stock with rights superior to our common stock. Another of the effects of authorized but unissued and unreserved shares of capital stock may be to render more difficult or discourage an attempt by a potential acquirer to obtain control of us by means of a merger, tender offer, proxy contest or otherwise, and thereby protect the continuity of our management. The issuance of such shares of capital stock may have the effect of delaying, deferring or preventing a change in control of us without any further action by our stockholders. However, since we are a majority-owned subsidiary of our parent companies, it would be difficult for an unrelated party to obtain control of us without the cooperation of our controlling stockholder. We have no present intention to adopt a stockholder rights plan, but could do so without stockholder approval at any future time.</w:t>
      </w:r>
    </w:p>
    <w:p>
      <w:pPr>
        <w:spacing w:after="0" w:line="185" w:lineRule="exact"/>
        <w:rPr>
          <w:sz w:val="20"/>
          <w:szCs w:val="20"/>
          <w:color w:val="auto"/>
        </w:rPr>
      </w:pPr>
    </w:p>
    <w:p>
      <w:pPr>
        <w:jc w:val="both"/>
        <w:ind w:left="200" w:right="219" w:firstLine="441"/>
        <w:spacing w:after="0" w:line="271" w:lineRule="auto"/>
        <w:rPr>
          <w:sz w:val="20"/>
          <w:szCs w:val="20"/>
          <w:color w:val="auto"/>
        </w:rPr>
      </w:pPr>
      <w:r>
        <w:rPr>
          <w:rFonts w:ascii="Times New Roman" w:cs="Times New Roman" w:eastAsia="Times New Roman" w:hAnsi="Times New Roman"/>
          <w:sz w:val="22"/>
          <w:szCs w:val="22"/>
          <w:color w:val="auto"/>
        </w:rPr>
        <w:t>As of May 26, 2026, we have not issued any shares of preferred stock nor designated any preferences, rights, privileges or restrictions for any class or series of preferred stock.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3" w:name="page34"/>
    <w:bookmarkEnd w:id="33"/>
    <w:p>
      <w:pPr>
        <w:jc w:val="right"/>
        <w:ind w:right="219"/>
        <w:spacing w:after="0"/>
        <w:rPr>
          <w:sz w:val="20"/>
          <w:szCs w:val="20"/>
          <w:color w:val="auto"/>
        </w:rPr>
      </w:pPr>
      <w:r>
        <w:rPr>
          <w:rFonts w:ascii="Times New Roman" w:cs="Times New Roman" w:eastAsia="Times New Roman" w:hAnsi="Times New Roman"/>
          <w:sz w:val="22"/>
          <w:szCs w:val="22"/>
          <w:color w:val="auto"/>
        </w:rPr>
        <w:t>Exhibit 10.1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INDEMNIFICATION AGREEMENT</w:t>
      </w:r>
    </w:p>
    <w:p>
      <w:pPr>
        <w:spacing w:after="0" w:line="20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This Indemnification Agreement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dated as of [DATE], is by and between NLI Holdings, Inc., a Delaware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and [NAME OF DIRECTOR/OFFICER] (the “</w:t>
      </w:r>
      <w:r>
        <w:rPr>
          <w:rFonts w:ascii="Times New Roman" w:cs="Times New Roman" w:eastAsia="Times New Roman" w:hAnsi="Times New Roman"/>
          <w:sz w:val="22"/>
          <w:szCs w:val="22"/>
          <w:i w:val="1"/>
          <w:iCs w:val="1"/>
          <w:color w:val="auto"/>
        </w:rPr>
        <w:t>Indemnitee</w:t>
      </w:r>
      <w:r>
        <w:rPr>
          <w:rFonts w:ascii="Times New Roman" w:cs="Times New Roman" w:eastAsia="Times New Roman" w:hAnsi="Times New Roman"/>
          <w:sz w:val="22"/>
          <w:szCs w:val="22"/>
          <w:color w:val="auto"/>
        </w:rPr>
        <w:t>”).</w:t>
      </w:r>
    </w:p>
    <w:p>
      <w:pPr>
        <w:spacing w:after="0" w:line="59"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Indemnitee is [a director/an officer] of the Company/the Company expects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Indemnitee to join the Company as [a director/an officer];</w:t>
      </w:r>
    </w:p>
    <w:p>
      <w:pPr>
        <w:spacing w:after="0" w:line="42"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both the Company and Indemnitee recognize the increased risk of litigation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other claims being asserted against directors and officers of public companies;</w:t>
      </w:r>
    </w:p>
    <w:p>
      <w:pPr>
        <w:spacing w:after="0" w:line="42"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the Company (the “</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has determined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enhancing the ability of the Company to retain and attract as directors and officers the most capable persons is in the best interests of the Company and that the Company therefore should seek to assure such persons that indemnification and insurance coverage is available;</w:t>
      </w:r>
    </w:p>
    <w:p>
      <w:pPr>
        <w:spacing w:after="0" w:line="64"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 recognition of the need to provide Indemnitee with substantial protection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against personal liability, in order to procure Indemnitee's [continued] service as a [director/officer]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Times New Roman" w:cs="Times New Roman" w:eastAsia="Times New Roman" w:hAnsi="Times New Roman"/>
          <w:sz w:val="21"/>
          <w:szCs w:val="21"/>
          <w:i w:val="1"/>
          <w:iCs w:val="1"/>
          <w:color w:val="auto"/>
        </w:rPr>
        <w:t>Constituent Documents</w:t>
      </w:r>
      <w:r>
        <w:rPr>
          <w:rFonts w:ascii="Times New Roman" w:cs="Times New Roman" w:eastAsia="Times New Roman" w:hAnsi="Times New Roman"/>
          <w:sz w:val="21"/>
          <w:szCs w:val="21"/>
          <w:color w:val="auto"/>
        </w:rPr>
        <w:t xml:space="preserve">”), any change in the composition of the Board or any change in control or business combination transaction relating to the Company), the Company wishes to provide in this Agreement for the indemnification of, and the advancement of Expenses (as defined in </w:t>
      </w:r>
      <w:r>
        <w:rPr>
          <w:rFonts w:ascii="Times New Roman" w:cs="Times New Roman" w:eastAsia="Times New Roman" w:hAnsi="Times New Roman"/>
          <w:sz w:val="21"/>
          <w:szCs w:val="21"/>
          <w:b w:val="1"/>
          <w:bCs w:val="1"/>
          <w:color w:val="auto"/>
        </w:rPr>
        <w:t>Section 1(g)</w:t>
      </w:r>
      <w:r>
        <w:rPr>
          <w:rFonts w:ascii="Times New Roman" w:cs="Times New Roman" w:eastAsia="Times New Roman" w:hAnsi="Times New Roman"/>
          <w:sz w:val="21"/>
          <w:szCs w:val="21"/>
          <w:color w:val="auto"/>
        </w:rPr>
        <w:t xml:space="preserve"> below) to, Indemnitee as set forth in this Agreement and to the extent insurance is maintained for the [continued] coverage of Indemnitee under the Company’s directors' and officers' liability insurance policies; and</w:t>
      </w:r>
    </w:p>
    <w:p>
      <w:pPr>
        <w:spacing w:after="0" w:line="69"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has determined that contractual indemnification as set forth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not only reasonable and prudent but also promotes the best interests of the Corporation and its stockholders.</w:t>
      </w:r>
    </w:p>
    <w:p>
      <w:pPr>
        <w:spacing w:after="0" w:line="59"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the Indemnitee's agreement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to] provide services to the Company, and other good and valuable consideration, the receipt and adequacy of which are hereby acknowledged, the parties hereto, intending to be legally bound, hereby agree as follows:</w:t>
      </w:r>
    </w:p>
    <w:p>
      <w:pPr>
        <w:spacing w:after="0" w:line="172" w:lineRule="exact"/>
        <w:rPr>
          <w:sz w:val="20"/>
          <w:szCs w:val="20"/>
          <w:color w:val="auto"/>
        </w:rPr>
      </w:pPr>
    </w:p>
    <w:p>
      <w:pPr>
        <w:ind w:left="200" w:right="219" w:firstLine="657"/>
        <w:spacing w:after="0" w:line="262" w:lineRule="auto"/>
        <w:tabs>
          <w:tab w:leader="none" w:pos="1496"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For purposes of this Agreement, the following terms shall have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following meanings:</w:t>
      </w:r>
    </w:p>
    <w:p>
      <w:pPr>
        <w:spacing w:after="0" w:line="41" w:lineRule="exact"/>
        <w:rPr>
          <w:rFonts w:ascii="Times New Roman" w:cs="Times New Roman" w:eastAsia="Times New Roman" w:hAnsi="Times New Roman"/>
          <w:sz w:val="22"/>
          <w:szCs w:val="22"/>
          <w:b w:val="1"/>
          <w:bCs w:val="1"/>
          <w:color w:val="auto"/>
        </w:rPr>
      </w:pPr>
    </w:p>
    <w:p>
      <w:pPr>
        <w:jc w:val="both"/>
        <w:ind w:left="860" w:right="219" w:firstLine="645"/>
        <w:spacing w:after="0" w:line="246" w:lineRule="auto"/>
        <w:tabs>
          <w:tab w:leader="none" w:pos="2156" w:val="left"/>
        </w:tabs>
        <w:numPr>
          <w:ilvl w:val="1"/>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Beneficial Owner</w:t>
      </w:r>
      <w:r>
        <w:rPr>
          <w:rFonts w:ascii="Times New Roman" w:cs="Times New Roman" w:eastAsia="Times New Roman" w:hAnsi="Times New Roman"/>
          <w:sz w:val="22"/>
          <w:szCs w:val="22"/>
          <w:color w:val="auto"/>
        </w:rPr>
        <w:t>” has the meaning given to the term “beneficial owner” in Rule 13d-3 under the Securities Exchange Act of 1934, as amended (the “</w:t>
      </w:r>
      <w:r>
        <w:rPr>
          <w:rFonts w:ascii="Times New Roman" w:cs="Times New Roman" w:eastAsia="Times New Roman" w:hAnsi="Times New Roman"/>
          <w:sz w:val="22"/>
          <w:szCs w:val="22"/>
          <w:i w:val="1"/>
          <w:iCs w:val="1"/>
          <w:color w:val="auto"/>
        </w:rPr>
        <w:t>Exchange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Act</w:t>
      </w:r>
      <w:r>
        <w:rPr>
          <w:rFonts w:ascii="Times New Roman" w:cs="Times New Roman" w:eastAsia="Times New Roman" w:hAnsi="Times New Roman"/>
          <w:sz w:val="22"/>
          <w:szCs w:val="22"/>
          <w:color w:val="auto"/>
        </w:rPr>
        <w:t>”).</w:t>
      </w:r>
    </w:p>
    <w:p>
      <w:pPr>
        <w:spacing w:after="0" w:line="59" w:lineRule="exact"/>
        <w:rPr>
          <w:rFonts w:ascii="Times New Roman" w:cs="Times New Roman" w:eastAsia="Times New Roman" w:hAnsi="Times New Roman"/>
          <w:sz w:val="22"/>
          <w:szCs w:val="22"/>
          <w:b w:val="1"/>
          <w:bCs w:val="1"/>
          <w:color w:val="auto"/>
        </w:rPr>
      </w:pPr>
    </w:p>
    <w:p>
      <w:pPr>
        <w:ind w:left="860" w:right="219" w:firstLine="645"/>
        <w:spacing w:after="0" w:line="262" w:lineRule="auto"/>
        <w:tabs>
          <w:tab w:leader="none" w:pos="2156" w:val="left"/>
        </w:tabs>
        <w:numPr>
          <w:ilvl w:val="1"/>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means the occurrence after the date of this Agreement of any of the following events:</w:t>
      </w:r>
    </w:p>
    <w:p>
      <w:pPr>
        <w:spacing w:after="0" w:line="45" w:lineRule="exact"/>
        <w:rPr>
          <w:rFonts w:ascii="Times New Roman" w:cs="Times New Roman" w:eastAsia="Times New Roman" w:hAnsi="Times New Roman"/>
          <w:sz w:val="22"/>
          <w:szCs w:val="22"/>
          <w:b w:val="1"/>
          <w:bCs w:val="1"/>
          <w:color w:val="auto"/>
        </w:rPr>
      </w:pPr>
    </w:p>
    <w:p>
      <w:pPr>
        <w:jc w:val="both"/>
        <w:ind w:left="1500" w:right="219" w:firstLine="653"/>
        <w:spacing w:after="0" w:line="239" w:lineRule="auto"/>
        <w:tabs>
          <w:tab w:leader="none" w:pos="2796" w:val="left"/>
        </w:tabs>
        <w:numPr>
          <w:ilvl w:val="2"/>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excluding any Exempted Holder, is or becomes the Beneficial Owner, directly or indirectly, of securities of the Company representing fifty (50) percent or more of the Company's then outstanding Voting Securities unless the change in relative Beneficial Ownership of the Company's securities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551815</wp:posOffset>
            </wp:positionV>
            <wp:extent cx="545211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4" w:name="page35"/>
    <w:bookmarkEnd w:id="34"/>
    <w:p>
      <w:pPr>
        <w:ind w:left="1500" w:right="219"/>
        <w:spacing w:after="0" w:line="258" w:lineRule="auto"/>
        <w:rPr>
          <w:sz w:val="20"/>
          <w:szCs w:val="20"/>
          <w:color w:val="auto"/>
        </w:rPr>
      </w:pPr>
      <w:r>
        <w:rPr>
          <w:rFonts w:ascii="Times New Roman" w:cs="Times New Roman" w:eastAsia="Times New Roman" w:hAnsi="Times New Roman"/>
          <w:sz w:val="22"/>
          <w:szCs w:val="22"/>
          <w:color w:val="auto"/>
        </w:rPr>
        <w:t>any Person results solely from a reduction in the aggregate number of outstanding shares of securities entitled to vote generally in the election of directors;</w:t>
      </w:r>
    </w:p>
    <w:p>
      <w:pPr>
        <w:spacing w:after="0" w:line="50" w:lineRule="exact"/>
        <w:rPr>
          <w:sz w:val="20"/>
          <w:szCs w:val="20"/>
          <w:color w:val="auto"/>
        </w:rPr>
      </w:pPr>
    </w:p>
    <w:p>
      <w:pPr>
        <w:jc w:val="both"/>
        <w:ind w:left="1500" w:right="219" w:firstLine="653"/>
        <w:spacing w:after="0" w:line="249" w:lineRule="auto"/>
        <w:tabs>
          <w:tab w:leader="none" w:pos="2796" w:val="left"/>
        </w:tabs>
        <w:numPr>
          <w:ilvl w:val="1"/>
          <w:numId w:val="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consummation of a reorganization, merger or consolidation with any Person other than any Exempted Holder, unless immediately following such reorganization, merger or consolidation, all of the Beneficial Owners of the Voting Securities of the Company immediately prior to such transaction beneficially own, directly or indirectly, more than fifty (50) percent of the combined voting power of the outstanding Voting Securities of the entity resulting from such transaction;</w:t>
      </w:r>
    </w:p>
    <w:p>
      <w:pPr>
        <w:spacing w:after="0" w:line="62" w:lineRule="exact"/>
        <w:rPr>
          <w:rFonts w:ascii="Times New Roman" w:cs="Times New Roman" w:eastAsia="Times New Roman" w:hAnsi="Times New Roman"/>
          <w:sz w:val="21"/>
          <w:szCs w:val="21"/>
          <w:b w:val="1"/>
          <w:bCs w:val="1"/>
          <w:color w:val="auto"/>
        </w:rPr>
      </w:pPr>
    </w:p>
    <w:p>
      <w:pPr>
        <w:jc w:val="both"/>
        <w:ind w:left="1500" w:right="219" w:firstLine="653"/>
        <w:spacing w:after="0" w:line="235" w:lineRule="auto"/>
        <w:tabs>
          <w:tab w:leader="none" w:pos="2796"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during any period of two consecutive years, not including any period prior to the execution of this Agreement, individuals who at the beginning of such period constituted the Board (including for this purpose any new directors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at least a majority of the Board; or</w:t>
      </w:r>
    </w:p>
    <w:p>
      <w:pPr>
        <w:spacing w:after="0" w:line="70" w:lineRule="exact"/>
        <w:rPr>
          <w:rFonts w:ascii="Times New Roman" w:cs="Times New Roman" w:eastAsia="Times New Roman" w:hAnsi="Times New Roman"/>
          <w:sz w:val="22"/>
          <w:szCs w:val="22"/>
          <w:b w:val="1"/>
          <w:bCs w:val="1"/>
          <w:color w:val="auto"/>
        </w:rPr>
      </w:pPr>
    </w:p>
    <w:p>
      <w:pPr>
        <w:jc w:val="both"/>
        <w:ind w:left="1500" w:right="219" w:firstLine="653"/>
        <w:spacing w:after="0" w:line="244" w:lineRule="auto"/>
        <w:tabs>
          <w:tab w:leader="none" w:pos="2796"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stockholders of the Company approve a plan of complete liquidation or dissolution of the Company or an agreement for the sale or disposition by the Company of all or substantially all of the Company's assets.</w:t>
      </w:r>
    </w:p>
    <w:p>
      <w:pPr>
        <w:spacing w:after="0" w:line="61"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Claim</w:t>
      </w:r>
      <w:r>
        <w:rPr>
          <w:rFonts w:ascii="Times New Roman" w:cs="Times New Roman" w:eastAsia="Times New Roman" w:hAnsi="Times New Roman"/>
          <w:sz w:val="22"/>
          <w:szCs w:val="22"/>
          <w:color w:val="auto"/>
        </w:rPr>
        <w:t>” means:</w:t>
      </w:r>
    </w:p>
    <w:p>
      <w:pPr>
        <w:spacing w:after="0" w:line="102" w:lineRule="exact"/>
        <w:rPr>
          <w:rFonts w:ascii="Times New Roman" w:cs="Times New Roman" w:eastAsia="Times New Roman" w:hAnsi="Times New Roman"/>
          <w:sz w:val="22"/>
          <w:szCs w:val="22"/>
          <w:b w:val="1"/>
          <w:bCs w:val="1"/>
          <w:color w:val="auto"/>
        </w:rPr>
      </w:pPr>
    </w:p>
    <w:p>
      <w:pPr>
        <w:jc w:val="both"/>
        <w:ind w:left="1500" w:right="219" w:firstLine="653"/>
        <w:spacing w:after="0" w:line="239" w:lineRule="auto"/>
        <w:tabs>
          <w:tab w:leader="none" w:pos="2796" w:val="left"/>
        </w:tabs>
        <w:numPr>
          <w:ilvl w:val="1"/>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threatened, pending or completed action, suit, proceeding or alternative dispute resolution mechanism, whether civil, criminal, administrative, arbitrative, investigative or other, and whether made pursuant to federal, state or other law; or</w:t>
      </w:r>
    </w:p>
    <w:p>
      <w:pPr>
        <w:spacing w:after="0" w:line="72" w:lineRule="exact"/>
        <w:rPr>
          <w:rFonts w:ascii="Times New Roman" w:cs="Times New Roman" w:eastAsia="Times New Roman" w:hAnsi="Times New Roman"/>
          <w:sz w:val="22"/>
          <w:szCs w:val="22"/>
          <w:b w:val="1"/>
          <w:bCs w:val="1"/>
          <w:color w:val="auto"/>
        </w:rPr>
      </w:pPr>
    </w:p>
    <w:p>
      <w:pPr>
        <w:jc w:val="both"/>
        <w:ind w:left="1500" w:right="219" w:firstLine="653"/>
        <w:spacing w:after="0" w:line="244" w:lineRule="auto"/>
        <w:tabs>
          <w:tab w:leader="none" w:pos="2796" w:val="left"/>
        </w:tabs>
        <w:numPr>
          <w:ilvl w:val="1"/>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inquiry, hearing or investigation that the Indemnitee determines might lead to the institution of any such action, suit, proceeding or alternative dispute resolution mechanism.</w:t>
      </w:r>
    </w:p>
    <w:p>
      <w:pPr>
        <w:spacing w:after="0" w:line="61"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Delaware Court</w:t>
      </w:r>
      <w:r>
        <w:rPr>
          <w:rFonts w:ascii="Times New Roman" w:cs="Times New Roman" w:eastAsia="Times New Roman" w:hAnsi="Times New Roman"/>
          <w:sz w:val="22"/>
          <w:szCs w:val="22"/>
          <w:color w:val="auto"/>
        </w:rPr>
        <w:t xml:space="preserve">” shall have the meaning ascribed to it in </w:t>
      </w:r>
      <w:r>
        <w:rPr>
          <w:rFonts w:ascii="Times New Roman" w:cs="Times New Roman" w:eastAsia="Times New Roman" w:hAnsi="Times New Roman"/>
          <w:sz w:val="22"/>
          <w:szCs w:val="22"/>
          <w:b w:val="1"/>
          <w:bCs w:val="1"/>
          <w:color w:val="auto"/>
        </w:rPr>
        <w:t>Section 9(e)</w:t>
      </w:r>
    </w:p>
    <w:p>
      <w:pPr>
        <w:spacing w:after="0" w:line="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below.</w:t>
      </w:r>
    </w:p>
    <w:p>
      <w:pPr>
        <w:spacing w:after="0" w:line="70" w:lineRule="exact"/>
        <w:rPr>
          <w:sz w:val="20"/>
          <w:szCs w:val="20"/>
          <w:color w:val="auto"/>
        </w:rPr>
      </w:pPr>
    </w:p>
    <w:p>
      <w:pPr>
        <w:ind w:left="860" w:right="219" w:firstLine="645"/>
        <w:spacing w:after="0" w:line="262" w:lineRule="auto"/>
        <w:tabs>
          <w:tab w:leader="none" w:pos="2156" w:val="left"/>
        </w:tabs>
        <w:numPr>
          <w:ilvl w:val="1"/>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Disinterested Director</w:t>
      </w:r>
      <w:r>
        <w:rPr>
          <w:rFonts w:ascii="Times New Roman" w:cs="Times New Roman" w:eastAsia="Times New Roman" w:hAnsi="Times New Roman"/>
          <w:sz w:val="22"/>
          <w:szCs w:val="22"/>
          <w:color w:val="auto"/>
        </w:rPr>
        <w:t>” means a director of the Company who is not and was not a party to the Claim in respect of which indemnification is sought by Indemnitee.</w:t>
      </w:r>
    </w:p>
    <w:p>
      <w:pPr>
        <w:spacing w:after="0" w:line="41" w:lineRule="exact"/>
        <w:rPr>
          <w:rFonts w:ascii="Times New Roman" w:cs="Times New Roman" w:eastAsia="Times New Roman" w:hAnsi="Times New Roman"/>
          <w:sz w:val="22"/>
          <w:szCs w:val="22"/>
          <w:b w:val="1"/>
          <w:bCs w:val="1"/>
          <w:color w:val="auto"/>
        </w:rPr>
      </w:pPr>
    </w:p>
    <w:p>
      <w:pPr>
        <w:jc w:val="both"/>
        <w:ind w:left="860" w:right="219" w:firstLine="645"/>
        <w:spacing w:after="0" w:line="246" w:lineRule="auto"/>
        <w:tabs>
          <w:tab w:leader="none" w:pos="2156" w:val="left"/>
        </w:tabs>
        <w:numPr>
          <w:ilvl w:val="1"/>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i w:val="1"/>
          <w:iCs w:val="1"/>
          <w:color w:val="auto"/>
        </w:rPr>
        <w:t>Exempted 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of the Persons described in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Proxy Statement dated March 25, 2026 under the headings “Controlling Shareholder” and “Security Ownership” and the footnotes thereto.</w:t>
      </w:r>
    </w:p>
    <w:p>
      <w:pPr>
        <w:spacing w:after="0" w:line="59" w:lineRule="exact"/>
        <w:rPr>
          <w:rFonts w:ascii="Times New Roman" w:cs="Times New Roman" w:eastAsia="Times New Roman" w:hAnsi="Times New Roman"/>
          <w:sz w:val="22"/>
          <w:szCs w:val="22"/>
          <w:b w:val="1"/>
          <w:bCs w:val="1"/>
          <w:color w:val="auto"/>
        </w:rPr>
      </w:pPr>
    </w:p>
    <w:p>
      <w:pPr>
        <w:jc w:val="both"/>
        <w:ind w:left="860" w:right="219" w:firstLine="645"/>
        <w:spacing w:after="0" w:line="247" w:lineRule="auto"/>
        <w:tabs>
          <w:tab w:leader="none" w:pos="2156" w:val="left"/>
        </w:tabs>
        <w:numPr>
          <w:ilvl w:val="1"/>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Expenses</w:t>
      </w:r>
      <w:r>
        <w:rPr>
          <w:rFonts w:ascii="Times New Roman" w:cs="Times New Roman" w:eastAsia="Times New Roman" w:hAnsi="Times New Roman"/>
          <w:sz w:val="21"/>
          <w:szCs w:val="21"/>
          <w:color w:val="auto"/>
        </w:rPr>
        <w:t>” means any and all expenses, including attorneys' and experts' fees, court costs, transcript costs, travel expenses, duplicating, printing and binding costs, telephone charges, and all other costs and expenses reasonably incurred in connection with investigating, defending, being a witness in or participating in (including on appeal), or preparing to defend, be a witness or participate in, any Claim. Expenses also shall include</w:t>
      </w:r>
    </w:p>
    <w:p>
      <w:pPr>
        <w:jc w:val="both"/>
        <w:ind w:left="860" w:right="219" w:hanging="3"/>
        <w:spacing w:after="0" w:line="235" w:lineRule="auto"/>
        <w:tabs>
          <w:tab w:leader="none" w:pos="113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reasonably incurred in connection with any appeal resulting from any Claim, including without limitation the premium, security for, and other costs relating to any cost bond, supersedeas bond, or other appeal bond or its equivalent, and (ii) for purposes of</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35" w:name="page36"/>
    <w:bookmarkEnd w:id="35"/>
    <w:p>
      <w:pPr>
        <w:jc w:val="both"/>
        <w:ind w:left="860" w:right="21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color w:val="auto"/>
        </w:rPr>
        <w:t>only, Expenses reasonably incurred by Indemnitee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interpretation, enforcement or defense of Indemnitee's rights under this Agreement, by litigation or otherwise. Expenses, however, shall not include amounts paid in settlement by Indemnitee or the amount of judgments or fines against Indemnitee.</w:t>
      </w:r>
    </w:p>
    <w:p>
      <w:pPr>
        <w:spacing w:after="0" w:line="64" w:lineRule="exact"/>
        <w:rPr>
          <w:sz w:val="20"/>
          <w:szCs w:val="20"/>
          <w:color w:val="auto"/>
        </w:rPr>
      </w:pPr>
    </w:p>
    <w:p>
      <w:pPr>
        <w:ind w:left="860" w:right="219" w:firstLine="645"/>
        <w:spacing w:after="0" w:line="262" w:lineRule="auto"/>
        <w:tabs>
          <w:tab w:leader="none" w:pos="2305" w:val="left"/>
        </w:tabs>
        <w:numPr>
          <w:ilvl w:val="1"/>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Expense Advance</w:t>
      </w:r>
      <w:r>
        <w:rPr>
          <w:rFonts w:ascii="Times New Roman" w:cs="Times New Roman" w:eastAsia="Times New Roman" w:hAnsi="Times New Roman"/>
          <w:sz w:val="22"/>
          <w:szCs w:val="22"/>
          <w:color w:val="auto"/>
        </w:rPr>
        <w:t xml:space="preserve">” means any payment of Expenses advanced to Indemnitee by the Company pursuant to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 xml:space="preserve"> hereof.</w:t>
      </w:r>
    </w:p>
    <w:p>
      <w:pPr>
        <w:spacing w:after="0" w:line="41" w:lineRule="exact"/>
        <w:rPr>
          <w:rFonts w:ascii="Times New Roman" w:cs="Times New Roman" w:eastAsia="Times New Roman" w:hAnsi="Times New Roman"/>
          <w:sz w:val="22"/>
          <w:szCs w:val="22"/>
          <w:b w:val="1"/>
          <w:bCs w:val="1"/>
          <w:color w:val="auto"/>
        </w:rPr>
      </w:pPr>
    </w:p>
    <w:p>
      <w:pPr>
        <w:jc w:val="both"/>
        <w:ind w:left="860" w:right="219" w:firstLine="645"/>
        <w:spacing w:after="0" w:line="235" w:lineRule="auto"/>
        <w:tabs>
          <w:tab w:leader="none" w:pos="2156" w:val="left"/>
        </w:tabs>
        <w:numPr>
          <w:ilvl w:val="1"/>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Indemnifiable Event</w:t>
      </w:r>
      <w:r>
        <w:rPr>
          <w:rFonts w:ascii="Times New Roman" w:cs="Times New Roman" w:eastAsia="Times New Roman" w:hAnsi="Times New Roman"/>
          <w:sz w:val="22"/>
          <w:szCs w:val="22"/>
          <w:color w:val="auto"/>
        </w:rPr>
        <w:t>” means any event or occurrence, whether occurring before, on or after the date of this Agreement, related to the fact that Indemnitee is or was a director, officer, employee or agent of the Company or any subsidiary of the Company, or is or was serving at the request of the Company as a director, officer, employee, member, manager, trustee or agent of any other corporation, limited liability company, partnership, joint venture, trust or other entity or enterprise (collectively with the Company, “</w:t>
      </w:r>
      <w:r>
        <w:rPr>
          <w:rFonts w:ascii="Times New Roman" w:cs="Times New Roman" w:eastAsia="Times New Roman" w:hAnsi="Times New Roman"/>
          <w:sz w:val="22"/>
          <w:szCs w:val="22"/>
          <w:i w:val="1"/>
          <w:iCs w:val="1"/>
          <w:color w:val="auto"/>
        </w:rPr>
        <w:t>Enterprise</w:t>
      </w:r>
      <w:r>
        <w:rPr>
          <w:rFonts w:ascii="Times New Roman" w:cs="Times New Roman" w:eastAsia="Times New Roman" w:hAnsi="Times New Roman"/>
          <w:sz w:val="22"/>
          <w:szCs w:val="22"/>
          <w:color w:val="auto"/>
        </w:rPr>
        <w:t>”) or by reason of an action or inaction by Indemnitee in any such capacity (whether or not serving in such capacity at the time any Loss is incurred for which indemnification can be provided under this Agreement).</w:t>
      </w:r>
    </w:p>
    <w:p>
      <w:pPr>
        <w:spacing w:after="0" w:line="65" w:lineRule="exact"/>
        <w:rPr>
          <w:rFonts w:ascii="Times New Roman" w:cs="Times New Roman" w:eastAsia="Times New Roman" w:hAnsi="Times New Roman"/>
          <w:sz w:val="22"/>
          <w:szCs w:val="22"/>
          <w:b w:val="1"/>
          <w:bCs w:val="1"/>
          <w:color w:val="auto"/>
        </w:rPr>
      </w:pPr>
    </w:p>
    <w:p>
      <w:pPr>
        <w:jc w:val="both"/>
        <w:ind w:left="860" w:right="219" w:firstLine="645"/>
        <w:spacing w:after="0" w:line="234" w:lineRule="auto"/>
        <w:tabs>
          <w:tab w:leader="none" w:pos="2156" w:val="left"/>
        </w:tabs>
        <w:numPr>
          <w:ilvl w:val="1"/>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Independent Counsel</w:t>
      </w:r>
      <w:r>
        <w:rPr>
          <w:rFonts w:ascii="Times New Roman" w:cs="Times New Roman" w:eastAsia="Times New Roman" w:hAnsi="Times New Roman"/>
          <w:sz w:val="22"/>
          <w:szCs w:val="22"/>
          <w:color w:val="auto"/>
        </w:rPr>
        <w:t>” means a law firm, or a member of a law firm, that is experienced in matters of corporation law and neither presently performs, nor in the past three (3) years has performed, services for either: (i) the Company or Indemnitee (other than in connection with matters concerning Indemnitee under this Agreement or of other indemnitees under similar agreements) or (ii) any other party to the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71" w:lineRule="exact"/>
        <w:rPr>
          <w:rFonts w:ascii="Times New Roman" w:cs="Times New Roman" w:eastAsia="Times New Roman" w:hAnsi="Times New Roman"/>
          <w:sz w:val="22"/>
          <w:szCs w:val="22"/>
          <w:b w:val="1"/>
          <w:bCs w:val="1"/>
          <w:color w:val="auto"/>
        </w:rPr>
      </w:pPr>
    </w:p>
    <w:p>
      <w:pPr>
        <w:jc w:val="both"/>
        <w:ind w:left="860" w:right="219" w:firstLine="645"/>
        <w:spacing w:after="0" w:line="236" w:lineRule="auto"/>
        <w:tabs>
          <w:tab w:leader="none" w:pos="2156" w:val="left"/>
        </w:tabs>
        <w:numPr>
          <w:ilvl w:val="1"/>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Losses</w:t>
      </w:r>
      <w:r>
        <w:rPr>
          <w:rFonts w:ascii="Times New Roman" w:cs="Times New Roman" w:eastAsia="Times New Roman" w:hAnsi="Times New Roman"/>
          <w:sz w:val="22"/>
          <w:szCs w:val="22"/>
          <w:color w:val="auto"/>
        </w:rPr>
        <w:t>” means any and all Expenses, damages, losses, liabilities, judgments, fines, penalties (whether civil, criminal or other), ERISA excise taxes, amounts paid or payable in settlement, including any interest, assessments, any federal, state, local or foreign taxes imposed as a result of the actual or deemed receipt of any payments under this Agreement and all other charges paid or payable in connection with investigating, defending, being a witness in or participating in (including on appeal), or preparing to defend, be a witness or participate in, any Claim.</w:t>
      </w:r>
    </w:p>
    <w:p>
      <w:pPr>
        <w:spacing w:after="0" w:line="67" w:lineRule="exact"/>
        <w:rPr>
          <w:rFonts w:ascii="Times New Roman" w:cs="Times New Roman" w:eastAsia="Times New Roman" w:hAnsi="Times New Roman"/>
          <w:sz w:val="22"/>
          <w:szCs w:val="22"/>
          <w:b w:val="1"/>
          <w:bCs w:val="1"/>
          <w:color w:val="auto"/>
        </w:rPr>
      </w:pPr>
    </w:p>
    <w:p>
      <w:pPr>
        <w:jc w:val="both"/>
        <w:ind w:left="860" w:right="219" w:firstLine="645"/>
        <w:spacing w:after="0" w:line="241" w:lineRule="auto"/>
        <w:tabs>
          <w:tab w:leader="none" w:pos="2156" w:val="left"/>
        </w:tabs>
        <w:numPr>
          <w:ilvl w:val="1"/>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means any individual, corporation, firm, partnership, joint venture, limited liability company, estate, trust, business association, organization, governmental entity or other entity and includes the meaning set forth in Sections 13(d) and 14(d) of the Exchange Act.</w:t>
      </w:r>
    </w:p>
    <w:p>
      <w:pPr>
        <w:spacing w:after="0" w:line="63" w:lineRule="exact"/>
        <w:rPr>
          <w:rFonts w:ascii="Times New Roman" w:cs="Times New Roman" w:eastAsia="Times New Roman" w:hAnsi="Times New Roman"/>
          <w:sz w:val="22"/>
          <w:szCs w:val="22"/>
          <w:b w:val="1"/>
          <w:bCs w:val="1"/>
          <w:color w:val="auto"/>
        </w:rPr>
      </w:pPr>
    </w:p>
    <w:p>
      <w:pPr>
        <w:ind w:left="860" w:right="219" w:firstLine="645"/>
        <w:spacing w:after="0" w:line="262" w:lineRule="auto"/>
        <w:tabs>
          <w:tab w:leader="none" w:pos="2156" w:val="left"/>
        </w:tabs>
        <w:numPr>
          <w:ilvl w:val="1"/>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Standard of Conduct Determination</w:t>
      </w:r>
      <w:r>
        <w:rPr>
          <w:rFonts w:ascii="Times New Roman" w:cs="Times New Roman" w:eastAsia="Times New Roman" w:hAnsi="Times New Roman"/>
          <w:sz w:val="22"/>
          <w:szCs w:val="22"/>
          <w:color w:val="auto"/>
        </w:rPr>
        <w:t xml:space="preserve">” shall have the meaning ascribed to it in </w:t>
      </w:r>
      <w:r>
        <w:rPr>
          <w:rFonts w:ascii="Times New Roman" w:cs="Times New Roman" w:eastAsia="Times New Roman" w:hAnsi="Times New Roman"/>
          <w:sz w:val="22"/>
          <w:szCs w:val="22"/>
          <w:i w:val="1"/>
          <w:iCs w:val="1"/>
          <w:color w:val="auto"/>
        </w:rPr>
        <w:t>Section 9(b)</w:t>
      </w:r>
      <w:r>
        <w:rPr>
          <w:rFonts w:ascii="Times New Roman" w:cs="Times New Roman" w:eastAsia="Times New Roman" w:hAnsi="Times New Roman"/>
          <w:sz w:val="22"/>
          <w:szCs w:val="22"/>
          <w:color w:val="auto"/>
        </w:rPr>
        <w:t xml:space="preserve"> below.</w:t>
      </w:r>
    </w:p>
    <w:p>
      <w:pPr>
        <w:spacing w:after="0" w:line="41" w:lineRule="exact"/>
        <w:rPr>
          <w:rFonts w:ascii="Times New Roman" w:cs="Times New Roman" w:eastAsia="Times New Roman" w:hAnsi="Times New Roman"/>
          <w:sz w:val="22"/>
          <w:szCs w:val="22"/>
          <w:b w:val="1"/>
          <w:bCs w:val="1"/>
          <w:color w:val="auto"/>
        </w:rPr>
      </w:pPr>
    </w:p>
    <w:p>
      <w:pPr>
        <w:ind w:left="860" w:right="219" w:firstLine="645"/>
        <w:spacing w:after="0" w:line="262" w:lineRule="auto"/>
        <w:tabs>
          <w:tab w:leader="none" w:pos="2156" w:val="left"/>
        </w:tabs>
        <w:numPr>
          <w:ilvl w:val="1"/>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Voting Securities</w:t>
      </w:r>
      <w:r>
        <w:rPr>
          <w:rFonts w:ascii="Times New Roman" w:cs="Times New Roman" w:eastAsia="Times New Roman" w:hAnsi="Times New Roman"/>
          <w:sz w:val="22"/>
          <w:szCs w:val="22"/>
          <w:color w:val="auto"/>
        </w:rPr>
        <w:t>” means any securities of the Company that vote generally in the election of directors.</w:t>
      </w:r>
    </w:p>
    <w:p>
      <w:pPr>
        <w:spacing w:after="0" w:line="147" w:lineRule="exact"/>
        <w:rPr>
          <w:rFonts w:ascii="Times New Roman" w:cs="Times New Roman" w:eastAsia="Times New Roman" w:hAnsi="Times New Roman"/>
          <w:sz w:val="22"/>
          <w:szCs w:val="22"/>
          <w:b w:val="1"/>
          <w:bCs w:val="1"/>
          <w:color w:val="auto"/>
        </w:rPr>
      </w:pPr>
    </w:p>
    <w:p>
      <w:pPr>
        <w:jc w:val="both"/>
        <w:ind w:left="200" w:right="219" w:firstLine="657"/>
        <w:spacing w:after="0" w:line="247" w:lineRule="auto"/>
        <w:tabs>
          <w:tab w:leader="none" w:pos="1496"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Services to the Company</w:t>
      </w:r>
      <w:r>
        <w:rPr>
          <w:rFonts w:ascii="Times New Roman" w:cs="Times New Roman" w:eastAsia="Times New Roman" w:hAnsi="Times New Roman"/>
          <w:sz w:val="22"/>
          <w:szCs w:val="22"/>
          <w:color w:val="auto"/>
        </w:rPr>
        <w:t>. Indemnitee agrees to [serve/continue to serve] as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 or officer of the Company for so long as Indemnitee is duly elected or appointed or until Indemnitee tenders [his/her] resignation or is no longer serving in such capacity. This Agreement</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36" w:name="page37"/>
    <w:bookmarkEnd w:id="36"/>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shall not be deemed an employment agreement between the Company (or any of its subsidiaries or Enterprise) and Indemnitee. Indemnitee specifically acknowledges that [his/her] [employment with/service to] the Company or any of its subsidiaries or Enterprise is at will and the Indemnitee may be discharged at any time for any reason, with or without cause, except as may be otherwise provided in any written employment agreement between Indemnitee and the Company (or any of its subsidiaries or Enterprise), other applicable formal severance policies duly adopted by the Board or, with respect to service as a director or officer of the Company, by the Company's Constituent Documents or Delaware law. This Agreement shall continue in force after Indemnitee has ceased to serve as a director or officer of the Company or, at the request of the Company, of any of its subsidiaries or Enterprise, as provided in </w:t>
      </w: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color w:val="auto"/>
        </w:rPr>
        <w:t xml:space="preserve"> hereof.</w:t>
      </w:r>
    </w:p>
    <w:p>
      <w:pPr>
        <w:spacing w:after="0" w:line="173" w:lineRule="exact"/>
        <w:rPr>
          <w:sz w:val="20"/>
          <w:szCs w:val="20"/>
          <w:color w:val="auto"/>
        </w:rPr>
      </w:pPr>
    </w:p>
    <w:p>
      <w:pPr>
        <w:jc w:val="both"/>
        <w:ind w:left="200" w:right="219" w:firstLine="657"/>
        <w:spacing w:after="0" w:line="235" w:lineRule="auto"/>
        <w:tabs>
          <w:tab w:leader="none" w:pos="149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Indemnification</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Section 9</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this Agreement,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shall indemnify Indemnitee, to the fullest extent permitted by the laws of the State of Delaware in effect on the date hereof, or as such laws may from time to time hereafter be amended to increase the scope of such permitted indemnification, against any and all Losses if Indemnitee was or is or becomes a party to or participant in, or is threatened to be made a party to or participant in, any Claim by reason of or arising in part out of an Indemnifiable Event, including, without limitation, Claims brought by or in the right of the Company, Claims brought by third parties, and Claims in which the Indemnitee is solely a witness.</w:t>
      </w:r>
    </w:p>
    <w:p>
      <w:pPr>
        <w:spacing w:after="0" w:line="178" w:lineRule="exact"/>
        <w:rPr>
          <w:rFonts w:ascii="Times New Roman" w:cs="Times New Roman" w:eastAsia="Times New Roman" w:hAnsi="Times New Roman"/>
          <w:sz w:val="22"/>
          <w:szCs w:val="22"/>
          <w:b w:val="1"/>
          <w:bCs w:val="1"/>
          <w:color w:val="auto"/>
        </w:rPr>
      </w:pPr>
    </w:p>
    <w:p>
      <w:pPr>
        <w:jc w:val="both"/>
        <w:ind w:left="200" w:right="219" w:firstLine="657"/>
        <w:spacing w:after="0" w:line="232" w:lineRule="auto"/>
        <w:tabs>
          <w:tab w:leader="none" w:pos="149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Advancement of Expenses</w:t>
      </w:r>
      <w:r>
        <w:rPr>
          <w:rFonts w:ascii="Times New Roman" w:cs="Times New Roman" w:eastAsia="Times New Roman" w:hAnsi="Times New Roman"/>
          <w:sz w:val="22"/>
          <w:szCs w:val="22"/>
          <w:color w:val="auto"/>
        </w:rPr>
        <w:t>. Indemnitee shall have the right to advancement by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prior to the final disposition of any Claim by final adjudication to which there are no further rights of appeal, of any and all Expenses actually and reasonably paid or incurred by Indemnitee in connection with any Claim arising out of an Indemnifiable Event. Indemnitee’s right to such advancement is not subject to the satisfaction of any standard of conduct. Without limiting the generality or effect of the foregoing, within thirty (30) days after any request by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not be required to provide any documentation or information to the extent that the provision thereof would undermine or otherwise jeopardize attorney-client privilege. In connection with any request for Expense Advances, Indemnitee shall execute and deliver to the Company an undertaking (which shall be accepted without reference to Indemnitee's ability to repay the Expense Advances) to repay any amounts paid, advanced, or reimbursed by the Company for such Expenses to the extent that it is ultimately determined, following the final disposition of such Claim, that Indemnitee is not entitled to indemnification hereunder. Indemnitee's obligation to reimburse the Company for Expense Advances shall be unsecured and no interest shall be charged thereon.</w:t>
      </w:r>
    </w:p>
    <w:p>
      <w:pPr>
        <w:spacing w:after="0" w:line="188" w:lineRule="exact"/>
        <w:rPr>
          <w:rFonts w:ascii="Times New Roman" w:cs="Times New Roman" w:eastAsia="Times New Roman" w:hAnsi="Times New Roman"/>
          <w:sz w:val="22"/>
          <w:szCs w:val="22"/>
          <w:b w:val="1"/>
          <w:bCs w:val="1"/>
          <w:color w:val="auto"/>
        </w:rPr>
      </w:pPr>
    </w:p>
    <w:p>
      <w:pPr>
        <w:jc w:val="both"/>
        <w:ind w:left="200" w:right="219" w:firstLine="657"/>
        <w:spacing w:after="0" w:line="248" w:lineRule="auto"/>
        <w:tabs>
          <w:tab w:leader="none" w:pos="1496"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Indemnification for Expenses in Enforcing Rights</w:t>
      </w:r>
      <w:r>
        <w:rPr>
          <w:rFonts w:ascii="Times New Roman" w:cs="Times New Roman" w:eastAsia="Times New Roman" w:hAnsi="Times New Roman"/>
          <w:sz w:val="21"/>
          <w:szCs w:val="21"/>
          <w:color w:val="auto"/>
        </w:rPr>
        <w:t>. To the fullest extent allowable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under applicable law, the Company shall also indemnify against, and, if requested by Indemnitee, shall advance to Indemnitee subject to and in accordance with </w:t>
      </w:r>
      <w:r>
        <w:rPr>
          <w:rFonts w:ascii="Times New Roman" w:cs="Times New Roman" w:eastAsia="Times New Roman" w:hAnsi="Times New Roman"/>
          <w:sz w:val="21"/>
          <w:szCs w:val="21"/>
          <w:b w:val="1"/>
          <w:bCs w:val="1"/>
          <w:color w:val="auto"/>
        </w:rPr>
        <w:t>Section 4</w:t>
      </w:r>
      <w:r>
        <w:rPr>
          <w:rFonts w:ascii="Times New Roman" w:cs="Times New Roman" w:eastAsia="Times New Roman" w:hAnsi="Times New Roman"/>
          <w:sz w:val="21"/>
          <w:szCs w:val="21"/>
          <w:color w:val="auto"/>
        </w:rPr>
        <w:t>, any Expenses actually and reasonably paid or incurred by Indemnitee in connection with any action or proceeding by Indemnitee for (a) indemnification or reimbursement or advance payment of Expenses by the Company under any provision of this Agreement, or under any other agreement or provision of the Constituent Documents now or hereafter in effect relating to Claims relating to Indemnifiable Events, and/or (b) recovery under any directors' and officers' liability insurance policies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98" w:right="1440" w:bottom="1440" w:gutter="0" w:footer="0" w:header="0"/>
        </w:sectPr>
      </w:pPr>
    </w:p>
    <w:bookmarkStart w:id="37" w:name="page38"/>
    <w:bookmarkEnd w:id="37"/>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 xml:space="preserve">maintained by the Company. However, in the event that Indemnitee is ultimately determined not to be entitled to such indemnification or insurance recovery, as the case may be, then all amounts advanced under this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 xml:space="preserve"> shall be repaid. Indemnitee shall be required to reimburse the Company in the event that a final judicial determination is made that such action brought by Indemnitee was frivolous or not made in good faith.</w:t>
      </w:r>
    </w:p>
    <w:p>
      <w:pPr>
        <w:spacing w:after="0" w:line="171" w:lineRule="exact"/>
        <w:rPr>
          <w:sz w:val="20"/>
          <w:szCs w:val="20"/>
          <w:color w:val="auto"/>
        </w:rPr>
      </w:pPr>
    </w:p>
    <w:p>
      <w:pPr>
        <w:jc w:val="both"/>
        <w:ind w:left="200" w:right="219" w:firstLine="657"/>
        <w:spacing w:after="0" w:line="241" w:lineRule="auto"/>
        <w:tabs>
          <w:tab w:leader="none" w:pos="14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Partial Indemnity</w:t>
      </w:r>
      <w:r>
        <w:rPr>
          <w:rFonts w:ascii="Times New Roman" w:cs="Times New Roman" w:eastAsia="Times New Roman" w:hAnsi="Times New Roman"/>
          <w:sz w:val="22"/>
          <w:szCs w:val="22"/>
          <w:color w:val="auto"/>
        </w:rPr>
        <w:t>. If Indemnitee is entitled under any provision of this Agreement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indemnification by the Company for a portion of any Losses in respect of a Claim related to an Indemnifiable Event but not for the total amount thereof, the Company shall indemnify Indemnitee for the portion thereof to which Indemnitee is entitled.</w:t>
      </w:r>
    </w:p>
    <w:p>
      <w:pPr>
        <w:spacing w:after="0" w:line="171"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Notification and Defense of Claims</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b w:val="1"/>
          <w:bCs w:val="1"/>
          <w:color w:val="auto"/>
        </w:rPr>
      </w:pPr>
    </w:p>
    <w:p>
      <w:pPr>
        <w:jc w:val="both"/>
        <w:ind w:left="860" w:right="219" w:firstLine="645"/>
        <w:spacing w:after="0" w:line="236" w:lineRule="auto"/>
        <w:tabs>
          <w:tab w:leader="none" w:pos="2156" w:val="left"/>
        </w:tabs>
        <w:numPr>
          <w:ilvl w:val="1"/>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Notification of Claims</w:t>
      </w:r>
      <w:r>
        <w:rPr>
          <w:rFonts w:ascii="Times New Roman" w:cs="Times New Roman" w:eastAsia="Times New Roman" w:hAnsi="Times New Roman"/>
          <w:sz w:val="22"/>
          <w:szCs w:val="22"/>
          <w:color w:val="auto"/>
        </w:rPr>
        <w:t>. Indemnitee shall notify the Company in writing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soon as practicable of any Claim which could relate to an Indemnifiable Event or for which Indemnitee could seek Expense Advances, including a brief description (based upon information then available to Indemnitee) of the nature of, and the facts underlying, such Claim. The failure by Indemnitee to timely notify the Company hereunder shall not relieve the Company from any liability hereunder unless and to the extent that such failure materially prejudices the Company.</w:t>
      </w:r>
    </w:p>
    <w:p>
      <w:pPr>
        <w:spacing w:after="0" w:line="67" w:lineRule="exact"/>
        <w:rPr>
          <w:rFonts w:ascii="Times New Roman" w:cs="Times New Roman" w:eastAsia="Times New Roman" w:hAnsi="Times New Roman"/>
          <w:sz w:val="22"/>
          <w:szCs w:val="22"/>
          <w:b w:val="1"/>
          <w:bCs w:val="1"/>
          <w:color w:val="auto"/>
        </w:rPr>
      </w:pPr>
    </w:p>
    <w:p>
      <w:pPr>
        <w:jc w:val="both"/>
        <w:ind w:left="860" w:right="219" w:firstLine="645"/>
        <w:spacing w:after="0" w:line="244" w:lineRule="auto"/>
        <w:tabs>
          <w:tab w:leader="none" w:pos="2156" w:val="left"/>
        </w:tabs>
        <w:numPr>
          <w:ilvl w:val="1"/>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Defense of Claims</w:t>
      </w:r>
      <w:r>
        <w:rPr>
          <w:rFonts w:ascii="Times New Roman" w:cs="Times New Roman" w:eastAsia="Times New Roman" w:hAnsi="Times New Roman"/>
          <w:sz w:val="21"/>
          <w:szCs w:val="21"/>
          <w:color w:val="auto"/>
        </w:rPr>
        <w:t>. The Company shall be entitled to participate in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defense of any Claim relating to an Indemnifiable Event at its own expense and, except as otherwise provided below, to the extent the Company so wishes, it may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 Claim, but all Expenses related to such counsel incurred after notice from the Company of its assumption of the defense shall be at Indemnitee's own expense; provided, however, that if (i) Indemnitee's employment of its own legal counsel has been authorized by the Company, (ii) Indemnitee has reasonably determined that there may be a conflict of interest between Indemnitee and the Company in the defense of such Claim, (iii) after a Change in Control, Indemnitee's employment of its own counsel has been approved by the Independent Counsel or (iv) the Company shall not in fact have employed counsel to assume the defense of such Claim, then Indemnitee shall be entitled to retain its own separate counsel (but not more than one law firm plus, if applicable, local counsel in respect of any such Claim) and all Expenses related to such separate counsel shall be borne by the Company.</w:t>
      </w:r>
    </w:p>
    <w:p>
      <w:pPr>
        <w:spacing w:after="0" w:line="168" w:lineRule="exact"/>
        <w:rPr>
          <w:rFonts w:ascii="Times New Roman" w:cs="Times New Roman" w:eastAsia="Times New Roman" w:hAnsi="Times New Roman"/>
          <w:sz w:val="21"/>
          <w:szCs w:val="21"/>
          <w:b w:val="1"/>
          <w:bCs w:val="1"/>
          <w:color w:val="auto"/>
        </w:rPr>
      </w:pPr>
    </w:p>
    <w:p>
      <w:pPr>
        <w:jc w:val="both"/>
        <w:ind w:left="200" w:right="219" w:firstLine="657"/>
        <w:spacing w:after="0" w:line="249" w:lineRule="auto"/>
        <w:tabs>
          <w:tab w:leader="none" w:pos="1496"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Procedure upon Application for Indemnification</w:t>
      </w:r>
      <w:r>
        <w:rPr>
          <w:rFonts w:ascii="Times New Roman" w:cs="Times New Roman" w:eastAsia="Times New Roman" w:hAnsi="Times New Roman"/>
          <w:sz w:val="21"/>
          <w:szCs w:val="21"/>
          <w:color w:val="auto"/>
        </w:rPr>
        <w:t>. In order to obtain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indemnification pursuant to this Agreement, Indemnitee shall submit to the Company a written request therefor, including in such request such documentation and information as is reasonably available to Indemnitee and is reasonably necessary to determine whether and to what extent Indemnitee is entitled to indemnification following the final disposition of the Claim, provided that documentation and information need not be so provided to the extent that the provision thereof would undermine or otherwise jeopardize attorney-client privilege. Indemnification shall be made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98" w:right="1440" w:bottom="1440" w:gutter="0" w:footer="0" w:header="0"/>
        </w:sectPr>
      </w:pPr>
    </w:p>
    <w:bookmarkStart w:id="38" w:name="page39"/>
    <w:bookmarkEnd w:id="38"/>
    <w:p>
      <w:pPr>
        <w:ind w:left="200" w:right="219"/>
        <w:spacing w:after="0" w:line="258" w:lineRule="auto"/>
        <w:rPr>
          <w:sz w:val="20"/>
          <w:szCs w:val="20"/>
          <w:color w:val="auto"/>
        </w:rPr>
      </w:pPr>
      <w:r>
        <w:rPr>
          <w:rFonts w:ascii="Times New Roman" w:cs="Times New Roman" w:eastAsia="Times New Roman" w:hAnsi="Times New Roman"/>
          <w:sz w:val="22"/>
          <w:szCs w:val="22"/>
          <w:color w:val="auto"/>
        </w:rPr>
        <w:t xml:space="preserve">insofar as the Company determines Indemnitee is entitled to indemnification in accordance with </w:t>
      </w: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22"/>
          <w:szCs w:val="22"/>
          <w:color w:val="auto"/>
        </w:rPr>
        <w:t>below.</w:t>
      </w:r>
    </w:p>
    <w:p>
      <w:pPr>
        <w:spacing w:after="0" w:line="152" w:lineRule="exact"/>
        <w:rPr>
          <w:sz w:val="20"/>
          <w:szCs w:val="20"/>
          <w:color w:val="auto"/>
        </w:rPr>
      </w:pPr>
    </w:p>
    <w:p>
      <w:pPr>
        <w:ind w:left="1500" w:hanging="643"/>
        <w:spacing w:after="0"/>
        <w:tabs>
          <w:tab w:leader="none" w:pos="150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Determination of Right to Indemnification</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Mandatory Indemnification; Indemnification as a Witness</w:t>
      </w:r>
      <w:r>
        <w:rPr>
          <w:rFonts w:ascii="Times New Roman" w:cs="Times New Roman" w:eastAsia="Times New Roman" w:hAnsi="Times New Roman"/>
          <w:sz w:val="22"/>
          <w:szCs w:val="22"/>
          <w:u w:val="single" w:color="auto"/>
          <w:color w:val="auto"/>
        </w:rPr>
        <w:t>.</w:t>
      </w:r>
    </w:p>
    <w:p>
      <w:pPr>
        <w:spacing w:after="0" w:line="104" w:lineRule="exact"/>
        <w:rPr>
          <w:rFonts w:ascii="Times New Roman" w:cs="Times New Roman" w:eastAsia="Times New Roman" w:hAnsi="Times New Roman"/>
          <w:sz w:val="22"/>
          <w:szCs w:val="22"/>
          <w:b w:val="1"/>
          <w:bCs w:val="1"/>
          <w:color w:val="auto"/>
        </w:rPr>
      </w:pPr>
    </w:p>
    <w:p>
      <w:pPr>
        <w:jc w:val="both"/>
        <w:ind w:left="1500" w:right="219" w:firstLine="653"/>
        <w:spacing w:after="0" w:line="235" w:lineRule="auto"/>
        <w:tabs>
          <w:tab w:leader="none" w:pos="2796" w:val="left"/>
        </w:tabs>
        <w:numPr>
          <w:ilvl w:val="2"/>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To the extent that Indemnitee shall have been successful on the merits or otherwise in defense of any Claim relating to an Indemnifiable Event or any portion thereof or in defense of any issue or matter therein, including without limitation dismissal without prejudice, Indemnitee shall be indemnified against all Losses relating to such Claim in accordance with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 xml:space="preserve"> to the fullest extent allowable by law, and no Standard of Conduct Determination (as defined in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9(b)</w:t>
      </w:r>
      <w:r>
        <w:rPr>
          <w:rFonts w:ascii="Times New Roman" w:cs="Times New Roman" w:eastAsia="Times New Roman" w:hAnsi="Times New Roman"/>
          <w:sz w:val="22"/>
          <w:szCs w:val="22"/>
          <w:color w:val="auto"/>
        </w:rPr>
        <w:t>) shall be required.</w:t>
      </w:r>
    </w:p>
    <w:p>
      <w:pPr>
        <w:spacing w:after="0" w:line="75" w:lineRule="exact"/>
        <w:rPr>
          <w:rFonts w:ascii="Times New Roman" w:cs="Times New Roman" w:eastAsia="Times New Roman" w:hAnsi="Times New Roman"/>
          <w:sz w:val="22"/>
          <w:szCs w:val="22"/>
          <w:b w:val="1"/>
          <w:bCs w:val="1"/>
          <w:color w:val="auto"/>
        </w:rPr>
      </w:pPr>
    </w:p>
    <w:p>
      <w:pPr>
        <w:jc w:val="both"/>
        <w:ind w:left="1500" w:right="219" w:firstLine="653"/>
        <w:spacing w:after="0" w:line="238" w:lineRule="auto"/>
        <w:tabs>
          <w:tab w:leader="none" w:pos="2796" w:val="left"/>
        </w:tabs>
        <w:numPr>
          <w:ilvl w:val="2"/>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To the extent that Indemnitee's involvement in a Claim relating to an Indemnifiable Event is to prepare to serve and serve as a witness, and not as a party, the Indemnitee shall be indemnified against all Losses incurred in connection therewith to the fullest extent allowable by law and no Standard of Conduct Determination (as defined in </w:t>
      </w:r>
      <w:r>
        <w:rPr>
          <w:rFonts w:ascii="Times New Roman" w:cs="Times New Roman" w:eastAsia="Times New Roman" w:hAnsi="Times New Roman"/>
          <w:sz w:val="22"/>
          <w:szCs w:val="22"/>
          <w:b w:val="1"/>
          <w:bCs w:val="1"/>
          <w:color w:val="auto"/>
        </w:rPr>
        <w:t>Section 9(b)</w:t>
      </w:r>
      <w:r>
        <w:rPr>
          <w:rFonts w:ascii="Times New Roman" w:cs="Times New Roman" w:eastAsia="Times New Roman" w:hAnsi="Times New Roman"/>
          <w:sz w:val="22"/>
          <w:szCs w:val="22"/>
          <w:color w:val="auto"/>
        </w:rPr>
        <w:t>) shall be required.</w:t>
      </w:r>
    </w:p>
    <w:p>
      <w:pPr>
        <w:spacing w:after="0" w:line="62" w:lineRule="exact"/>
        <w:rPr>
          <w:rFonts w:ascii="Times New Roman" w:cs="Times New Roman" w:eastAsia="Times New Roman" w:hAnsi="Times New Roman"/>
          <w:sz w:val="22"/>
          <w:szCs w:val="22"/>
          <w:b w:val="1"/>
          <w:bCs w:val="1"/>
          <w:color w:val="auto"/>
        </w:rPr>
      </w:pPr>
    </w:p>
    <w:p>
      <w:pPr>
        <w:jc w:val="both"/>
        <w:ind w:left="860" w:right="219" w:firstLine="645"/>
        <w:spacing w:after="0" w:line="236" w:lineRule="auto"/>
        <w:tabs>
          <w:tab w:leader="none" w:pos="2156"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Standard of Conduct</w:t>
      </w:r>
      <w:r>
        <w:rPr>
          <w:rFonts w:ascii="Times New Roman" w:cs="Times New Roman" w:eastAsia="Times New Roman" w:hAnsi="Times New Roman"/>
          <w:sz w:val="22"/>
          <w:szCs w:val="22"/>
          <w:color w:val="auto"/>
        </w:rPr>
        <w:t>. To the extent that the provisions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Section 9(a)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inapplicable to a Claim related to an Indemnifiable Event that shall have been finally disposed of, any determination of whether Indemnitee has satisfied any applicable standard of conduct under Delaware law that is a legally required condition to indemnification of Indemnitee hereunder against Losses relating to such Claim and any determination that Expense Advances must be repaid to the Company (a “</w:t>
      </w:r>
      <w:r>
        <w:rPr>
          <w:rFonts w:ascii="Times New Roman" w:cs="Times New Roman" w:eastAsia="Times New Roman" w:hAnsi="Times New Roman"/>
          <w:sz w:val="22"/>
          <w:szCs w:val="22"/>
          <w:i w:val="1"/>
          <w:iCs w:val="1"/>
          <w:color w:val="auto"/>
        </w:rPr>
        <w:t>Standard of Conduct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Determination</w:t>
      </w:r>
      <w:r>
        <w:rPr>
          <w:rFonts w:ascii="Times New Roman" w:cs="Times New Roman" w:eastAsia="Times New Roman" w:hAnsi="Times New Roman"/>
          <w:sz w:val="22"/>
          <w:szCs w:val="22"/>
          <w:color w:val="auto"/>
        </w:rPr>
        <w:t>”) shall be made as follows:</w:t>
      </w:r>
    </w:p>
    <w:p>
      <w:pPr>
        <w:spacing w:after="0" w:line="73" w:lineRule="exact"/>
        <w:rPr>
          <w:rFonts w:ascii="Times New Roman" w:cs="Times New Roman" w:eastAsia="Times New Roman" w:hAnsi="Times New Roman"/>
          <w:sz w:val="22"/>
          <w:szCs w:val="22"/>
          <w:b w:val="1"/>
          <w:bCs w:val="1"/>
          <w:color w:val="auto"/>
        </w:rPr>
      </w:pPr>
    </w:p>
    <w:p>
      <w:pPr>
        <w:jc w:val="both"/>
        <w:ind w:left="1500" w:right="219" w:firstLine="653"/>
        <w:spacing w:after="0" w:line="236" w:lineRule="auto"/>
        <w:tabs>
          <w:tab w:leader="none" w:pos="2796" w:val="left"/>
        </w:tabs>
        <w:numPr>
          <w:ilvl w:val="2"/>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no Change in Control has occurred, (A) by a majority vote of the Disinterested Directors, even if less than a quorum of the Board, (B) by a committee of Disinterested Directors designated by a majority vote of the Disinterested Directors, even though less than a quorum or (C) if there are no such Disinterested Directors, by Independent Counsel in a written opinion addressed to the Board, a copy of which shall be delivered to Indemnitee; and</w:t>
      </w:r>
    </w:p>
    <w:p>
      <w:pPr>
        <w:spacing w:after="0" w:line="73" w:lineRule="exact"/>
        <w:rPr>
          <w:rFonts w:ascii="Times New Roman" w:cs="Times New Roman" w:eastAsia="Times New Roman" w:hAnsi="Times New Roman"/>
          <w:sz w:val="22"/>
          <w:szCs w:val="22"/>
          <w:b w:val="1"/>
          <w:bCs w:val="1"/>
          <w:color w:val="auto"/>
        </w:rPr>
      </w:pPr>
    </w:p>
    <w:p>
      <w:pPr>
        <w:jc w:val="both"/>
        <w:ind w:left="1500" w:right="219" w:firstLine="653"/>
        <w:spacing w:after="0" w:line="239" w:lineRule="auto"/>
        <w:tabs>
          <w:tab w:leader="none" w:pos="2796" w:val="left"/>
        </w:tabs>
        <w:numPr>
          <w:ilvl w:val="2"/>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w:t>
      </w:r>
    </w:p>
    <w:p>
      <w:pPr>
        <w:spacing w:after="0" w:line="86" w:lineRule="exact"/>
        <w:rPr>
          <w:sz w:val="20"/>
          <w:szCs w:val="20"/>
          <w:color w:val="auto"/>
        </w:rPr>
      </w:pPr>
    </w:p>
    <w:p>
      <w:pPr>
        <w:jc w:val="both"/>
        <w:ind w:left="1500" w:right="219" w:firstLine="1296"/>
        <w:spacing w:after="0" w:line="253" w:lineRule="auto"/>
        <w:rPr>
          <w:sz w:val="20"/>
          <w:szCs w:val="20"/>
          <w:color w:val="auto"/>
        </w:rPr>
      </w:pPr>
      <w:r>
        <w:rPr>
          <w:rFonts w:ascii="Times New Roman" w:cs="Times New Roman" w:eastAsia="Times New Roman" w:hAnsi="Times New Roman"/>
          <w:sz w:val="22"/>
          <w:szCs w:val="22"/>
          <w:color w:val="auto"/>
        </w:rPr>
        <w:t>The Company shall indemnify and hold harmless Indemnitee against and, if requested by Indemnitee, shall reimburse Indemnitee for, or advance to Indemnitee, within thirty (30) days of such request, any and all Expenses incurred by Indemnitee in cooperating with the person or persons making such Standard of Conduct Determination.</w:t>
      </w:r>
    </w:p>
    <w:p>
      <w:pPr>
        <w:spacing w:after="0" w:line="51" w:lineRule="exact"/>
        <w:rPr>
          <w:sz w:val="20"/>
          <w:szCs w:val="20"/>
          <w:color w:val="auto"/>
        </w:rPr>
      </w:pPr>
    </w:p>
    <w:p>
      <w:pPr>
        <w:jc w:val="both"/>
        <w:ind w:left="860" w:right="219" w:firstLine="645"/>
        <w:spacing w:after="0" w:line="241" w:lineRule="auto"/>
        <w:tabs>
          <w:tab w:leader="none" w:pos="215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Making the Standard of Conduct Determination</w:t>
      </w:r>
      <w:r>
        <w:rPr>
          <w:rFonts w:ascii="Times New Roman" w:cs="Times New Roman" w:eastAsia="Times New Roman" w:hAnsi="Times New Roman"/>
          <w:sz w:val="22"/>
          <w:szCs w:val="22"/>
          <w:color w:val="auto"/>
        </w:rPr>
        <w:t>. The Company shall use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its reasonable best efforts to cause any Standard of Conduct Determination required under </w:t>
      </w:r>
      <w:r>
        <w:rPr>
          <w:rFonts w:ascii="Times New Roman" w:cs="Times New Roman" w:eastAsia="Times New Roman" w:hAnsi="Times New Roman"/>
          <w:sz w:val="22"/>
          <w:szCs w:val="22"/>
          <w:b w:val="1"/>
          <w:bCs w:val="1"/>
          <w:color w:val="auto"/>
        </w:rPr>
        <w:t xml:space="preserve">Section 9(b) </w:t>
      </w:r>
      <w:r>
        <w:rPr>
          <w:rFonts w:ascii="Times New Roman" w:cs="Times New Roman" w:eastAsia="Times New Roman" w:hAnsi="Times New Roman"/>
          <w:sz w:val="22"/>
          <w:szCs w:val="22"/>
          <w:color w:val="auto"/>
        </w:rPr>
        <w:t>to be made as promptly as practicable. If the person or persons designated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make the Standard of Conduct Determination under </w:t>
      </w:r>
      <w:r>
        <w:rPr>
          <w:rFonts w:ascii="Times New Roman" w:cs="Times New Roman" w:eastAsia="Times New Roman" w:hAnsi="Times New Roman"/>
          <w:sz w:val="22"/>
          <w:szCs w:val="22"/>
          <w:b w:val="1"/>
          <w:bCs w:val="1"/>
          <w:color w:val="auto"/>
        </w:rPr>
        <w:t>Section 9(b)</w:t>
      </w:r>
      <w:r>
        <w:rPr>
          <w:rFonts w:ascii="Times New Roman" w:cs="Times New Roman" w:eastAsia="Times New Roman" w:hAnsi="Times New Roman"/>
          <w:sz w:val="22"/>
          <w:szCs w:val="22"/>
          <w:color w:val="auto"/>
        </w:rPr>
        <w:t xml:space="preserve"> shall not have made a</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98" w:right="1440" w:bottom="1440" w:gutter="0" w:footer="0" w:header="0"/>
        </w:sectPr>
      </w:pPr>
    </w:p>
    <w:bookmarkStart w:id="39" w:name="page40"/>
    <w:bookmarkEnd w:id="39"/>
    <w:p>
      <w:pPr>
        <w:jc w:val="both"/>
        <w:ind w:left="860" w:right="219"/>
        <w:spacing w:after="0" w:line="246" w:lineRule="auto"/>
        <w:rPr>
          <w:sz w:val="20"/>
          <w:szCs w:val="20"/>
          <w:color w:val="auto"/>
        </w:rPr>
      </w:pPr>
      <w:r>
        <w:rPr>
          <w:rFonts w:ascii="Times New Roman" w:cs="Times New Roman" w:eastAsia="Times New Roman" w:hAnsi="Times New Roman"/>
          <w:sz w:val="21"/>
          <w:szCs w:val="21"/>
          <w:color w:val="auto"/>
        </w:rPr>
        <w:t xml:space="preserve">determination within forty-five (45) days after the later of (A) receipt by the Company of a written request from Indemnitee for indemnification pursuant to </w:t>
      </w:r>
      <w:r>
        <w:rPr>
          <w:rFonts w:ascii="Times New Roman" w:cs="Times New Roman" w:eastAsia="Times New Roman" w:hAnsi="Times New Roman"/>
          <w:sz w:val="21"/>
          <w:szCs w:val="21"/>
          <w:b w:val="1"/>
          <w:bCs w:val="1"/>
          <w:color w:val="auto"/>
        </w:rPr>
        <w:t>Section 8</w:t>
      </w:r>
      <w:r>
        <w:rPr>
          <w:rFonts w:ascii="Times New Roman" w:cs="Times New Roman" w:eastAsia="Times New Roman" w:hAnsi="Times New Roman"/>
          <w:sz w:val="21"/>
          <w:szCs w:val="21"/>
          <w:color w:val="auto"/>
        </w:rPr>
        <w:t xml:space="preserve"> (the date of such receipt being the “</w:t>
      </w:r>
      <w:r>
        <w:rPr>
          <w:rFonts w:ascii="Times New Roman" w:cs="Times New Roman" w:eastAsia="Times New Roman" w:hAnsi="Times New Roman"/>
          <w:sz w:val="21"/>
          <w:szCs w:val="21"/>
          <w:i w:val="1"/>
          <w:iCs w:val="1"/>
          <w:color w:val="auto"/>
        </w:rPr>
        <w:t>Notification Date</w:t>
      </w:r>
      <w:r>
        <w:rPr>
          <w:rFonts w:ascii="Times New Roman" w:cs="Times New Roman" w:eastAsia="Times New Roman" w:hAnsi="Times New Roman"/>
          <w:sz w:val="21"/>
          <w:szCs w:val="21"/>
          <w:color w:val="auto"/>
        </w:rPr>
        <w:t>”) and (B) the selection of an Independent Counsel, if such determination is to be made by Independent Counsel, then Indemnitee shall be deemed to have satisfied the applicable standard of conduct; provided that such forty-five</w:t>
      </w:r>
    </w:p>
    <w:p>
      <w:pPr>
        <w:spacing w:after="0" w:line="1" w:lineRule="exact"/>
        <w:rPr>
          <w:sz w:val="20"/>
          <w:szCs w:val="20"/>
          <w:color w:val="auto"/>
        </w:rPr>
      </w:pPr>
    </w:p>
    <w:p>
      <w:pPr>
        <w:jc w:val="both"/>
        <w:ind w:left="860" w:right="219" w:hanging="3"/>
        <w:spacing w:after="0" w:line="232" w:lineRule="auto"/>
        <w:tabs>
          <w:tab w:leader="none" w:pos="128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period may be extended for a reasonable time, not to exceed an additional forty-five (45) days, if the person or persons making such determination in good faith requires such additional time to obtain or evaluate information relating thereto. Notwithstanding anything in this Agreement to the contrary, no determination as to entitlement of Indemnitee to indemnification under this Agreement shall be required to be made prior to the final disposition of any Claim.</w:t>
      </w:r>
    </w:p>
    <w:p>
      <w:pPr>
        <w:spacing w:after="0" w:line="6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Payment of Indemnification</w:t>
      </w:r>
      <w:r>
        <w:rPr>
          <w:rFonts w:ascii="Times New Roman" w:cs="Times New Roman" w:eastAsia="Times New Roman" w:hAnsi="Times New Roman"/>
          <w:sz w:val="22"/>
          <w:szCs w:val="22"/>
          <w:color w:val="auto"/>
        </w:rPr>
        <w:t>. If, in regard to any Losses:</w:t>
      </w:r>
    </w:p>
    <w:p>
      <w:pPr>
        <w:spacing w:after="0" w:line="100"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2"/>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Indemnitee shall be entitled to indemnification pursuant to </w:t>
      </w:r>
      <w:r>
        <w:rPr>
          <w:rFonts w:ascii="Times New Roman" w:cs="Times New Roman" w:eastAsia="Times New Roman" w:hAnsi="Times New Roman"/>
          <w:sz w:val="22"/>
          <w:szCs w:val="22"/>
          <w:b w:val="1"/>
          <w:bCs w:val="1"/>
          <w:color w:val="auto"/>
        </w:rPr>
        <w:t>Section</w:t>
      </w:r>
    </w:p>
    <w:p>
      <w:pPr>
        <w:spacing w:after="0" w:line="18" w:lineRule="exact"/>
        <w:rPr>
          <w:rFonts w:ascii="Times New Roman" w:cs="Times New Roman" w:eastAsia="Times New Roman" w:hAnsi="Times New Roman"/>
          <w:sz w:val="22"/>
          <w:szCs w:val="22"/>
          <w:b w:val="1"/>
          <w:bCs w:val="1"/>
          <w:color w:val="auto"/>
        </w:rPr>
      </w:pPr>
    </w:p>
    <w:p>
      <w:pPr>
        <w:ind w:left="15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9(a)</w:t>
      </w:r>
      <w:r>
        <w:rPr>
          <w:rFonts w:ascii="Times New Roman" w:cs="Times New Roman" w:eastAsia="Times New Roman" w:hAnsi="Times New Roman"/>
          <w:sz w:val="22"/>
          <w:szCs w:val="22"/>
          <w:color w:val="auto"/>
        </w:rPr>
        <w:t>;</w:t>
      </w:r>
    </w:p>
    <w:p>
      <w:pPr>
        <w:spacing w:after="0" w:line="74" w:lineRule="exact"/>
        <w:rPr>
          <w:rFonts w:ascii="Times New Roman" w:cs="Times New Roman" w:eastAsia="Times New Roman" w:hAnsi="Times New Roman"/>
          <w:sz w:val="22"/>
          <w:szCs w:val="22"/>
          <w:b w:val="1"/>
          <w:bCs w:val="1"/>
          <w:color w:val="auto"/>
        </w:rPr>
      </w:pPr>
    </w:p>
    <w:p>
      <w:pPr>
        <w:ind w:left="1500" w:right="219" w:firstLine="653"/>
        <w:spacing w:after="0" w:line="258" w:lineRule="auto"/>
        <w:tabs>
          <w:tab w:leader="none" w:pos="2796" w:val="left"/>
        </w:tabs>
        <w:numPr>
          <w:ilvl w:val="2"/>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Standard Conduct Determination is legally required as a condition to indemnification of Indemnitee hereunder; or</w:t>
      </w:r>
    </w:p>
    <w:p>
      <w:pPr>
        <w:spacing w:after="0" w:line="397" w:lineRule="exact"/>
        <w:rPr>
          <w:rFonts w:ascii="Times New Roman" w:cs="Times New Roman" w:eastAsia="Times New Roman" w:hAnsi="Times New Roman"/>
          <w:sz w:val="22"/>
          <w:szCs w:val="22"/>
          <w:b w:val="1"/>
          <w:bCs w:val="1"/>
          <w:color w:val="auto"/>
        </w:rPr>
      </w:pPr>
    </w:p>
    <w:p>
      <w:pPr>
        <w:jc w:val="both"/>
        <w:ind w:left="1500" w:right="219" w:firstLine="653"/>
        <w:spacing w:after="0" w:line="238" w:lineRule="auto"/>
        <w:tabs>
          <w:tab w:leader="none" w:pos="2796" w:val="left"/>
        </w:tabs>
        <w:numPr>
          <w:ilvl w:val="2"/>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Indemnitee has been determined or deemed pursuant to </w:t>
      </w:r>
      <w:r>
        <w:rPr>
          <w:rFonts w:ascii="Times New Roman" w:cs="Times New Roman" w:eastAsia="Times New Roman" w:hAnsi="Times New Roman"/>
          <w:sz w:val="22"/>
          <w:szCs w:val="22"/>
          <w:b w:val="1"/>
          <w:bCs w:val="1"/>
          <w:color w:val="auto"/>
        </w:rPr>
        <w:t>Section 9(b)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9(c)</w:t>
      </w:r>
      <w:r>
        <w:rPr>
          <w:rFonts w:ascii="Times New Roman" w:cs="Times New Roman" w:eastAsia="Times New Roman" w:hAnsi="Times New Roman"/>
          <w:sz w:val="22"/>
          <w:szCs w:val="22"/>
          <w:color w:val="auto"/>
        </w:rPr>
        <w:t xml:space="preserve"> to have satisfied the Standard of Conduct Determination, then the Company shall pay to Indemnitee, within five (5) days after the later of (A) the Notification Date or (B) the earliest date on which the applicable criterion specified in clause (i), (ii) or (iii) is satisfied, an amount equal to such Losses.</w:t>
      </w:r>
    </w:p>
    <w:p>
      <w:pPr>
        <w:spacing w:after="0" w:line="66" w:lineRule="exact"/>
        <w:rPr>
          <w:rFonts w:ascii="Times New Roman" w:cs="Times New Roman" w:eastAsia="Times New Roman" w:hAnsi="Times New Roman"/>
          <w:sz w:val="22"/>
          <w:szCs w:val="22"/>
          <w:b w:val="1"/>
          <w:bCs w:val="1"/>
          <w:color w:val="auto"/>
        </w:rPr>
      </w:pPr>
    </w:p>
    <w:p>
      <w:pPr>
        <w:jc w:val="both"/>
        <w:ind w:left="860" w:right="219" w:firstLine="645"/>
        <w:spacing w:after="0" w:line="243" w:lineRule="auto"/>
        <w:tabs>
          <w:tab w:leader="none" w:pos="2156" w:val="left"/>
        </w:tabs>
        <w:numPr>
          <w:ilvl w:val="1"/>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Selection of Independent Counsel for Standard of Conduct Determination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If a Standard of Conduct Determination is to be made by Independent Counsel pursuant to </w:t>
      </w:r>
      <w:r>
        <w:rPr>
          <w:rFonts w:ascii="Times New Roman" w:cs="Times New Roman" w:eastAsia="Times New Roman" w:hAnsi="Times New Roman"/>
          <w:sz w:val="21"/>
          <w:szCs w:val="21"/>
          <w:b w:val="1"/>
          <w:bCs w:val="1"/>
          <w:color w:val="auto"/>
        </w:rPr>
        <w:t>Section 9.1(b)(i)</w:t>
      </w:r>
      <w:r>
        <w:rPr>
          <w:rFonts w:ascii="Times New Roman" w:cs="Times New Roman" w:eastAsia="Times New Roman" w:hAnsi="Times New Roman"/>
          <w:sz w:val="21"/>
          <w:szCs w:val="21"/>
          <w:color w:val="auto"/>
        </w:rPr>
        <w:t>, the Independent Counsel shall be selected by the Board of Directors,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Company shall give written notice to Indemnitee advising [him/her] of the identity of the Independent Counsel so selected. If a Standard of Conduct Determination is to be made by Independent Counsel pursuant to </w:t>
      </w:r>
      <w:r>
        <w:rPr>
          <w:rFonts w:ascii="Times New Roman" w:cs="Times New Roman" w:eastAsia="Times New Roman" w:hAnsi="Times New Roman"/>
          <w:sz w:val="21"/>
          <w:szCs w:val="21"/>
          <w:b w:val="1"/>
          <w:bCs w:val="1"/>
          <w:color w:val="auto"/>
        </w:rPr>
        <w:t>Section 9.1(b)(ii)</w:t>
      </w:r>
      <w:r>
        <w:rPr>
          <w:rFonts w:ascii="Times New Roman" w:cs="Times New Roman" w:eastAsia="Times New Roman" w:hAnsi="Times New Roman"/>
          <w:sz w:val="21"/>
          <w:szCs w:val="21"/>
          <w:color w:val="auto"/>
        </w:rPr>
        <w:t xml:space="preserve">, the Independent Counsel shall be selected by Indemnitee, and Indemnitee shall give written notice to the Company advising it of the identity of the Independent Counsel so selected. In either case, Indemnitee or the Company, as applicable, may, within five (5)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w:t>
      </w:r>
      <w:r>
        <w:rPr>
          <w:rFonts w:ascii="Times New Roman" w:cs="Times New Roman" w:eastAsia="Times New Roman" w:hAnsi="Times New Roman"/>
          <w:sz w:val="21"/>
          <w:szCs w:val="21"/>
          <w:b w:val="1"/>
          <w:bCs w:val="1"/>
          <w:color w:val="auto"/>
        </w:rPr>
        <w:t>Section 1(i)</w:t>
      </w:r>
      <w:r>
        <w:rPr>
          <w:rFonts w:ascii="Times New Roman" w:cs="Times New Roman" w:eastAsia="Times New Roman" w:hAnsi="Times New Roman"/>
          <w:sz w:val="21"/>
          <w:szCs w:val="21"/>
          <w:color w:val="auto"/>
        </w:rPr>
        <w:t>, and the objection shall set forth with particularity the factual basis of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assertion. Absent a proper and timely objection, the person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 introductory clause of this sentence and numbered clause (i) of this sentence shall apply to</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40" w:name="page41"/>
    <w:bookmarkEnd w:id="40"/>
    <w:p>
      <w:pPr>
        <w:jc w:val="both"/>
        <w:ind w:left="860" w:right="219"/>
        <w:spacing w:after="0" w:line="236" w:lineRule="auto"/>
        <w:rPr>
          <w:sz w:val="20"/>
          <w:szCs w:val="20"/>
          <w:color w:val="auto"/>
        </w:rPr>
      </w:pPr>
      <w:r>
        <w:rPr>
          <w:rFonts w:ascii="Times New Roman" w:cs="Times New Roman" w:eastAsia="Times New Roman" w:hAnsi="Times New Roman"/>
          <w:sz w:val="22"/>
          <w:szCs w:val="22"/>
          <w:color w:val="auto"/>
        </w:rPr>
        <w:t xml:space="preserve">such subsequent selection and notice. If applicable, the provisions of clause (ii) of the immediately preceding sentence shall apply to successive alternative selections. If no Independent Counsel that is permitted under the foregoing provisions of this </w:t>
      </w:r>
      <w:r>
        <w:rPr>
          <w:rFonts w:ascii="Times New Roman" w:cs="Times New Roman" w:eastAsia="Times New Roman" w:hAnsi="Times New Roman"/>
          <w:sz w:val="22"/>
          <w:szCs w:val="22"/>
          <w:b w:val="1"/>
          <w:bCs w:val="1"/>
          <w:color w:val="auto"/>
        </w:rPr>
        <w:t>Section 9(e)</w:t>
      </w:r>
      <w:r>
        <w:rPr>
          <w:rFonts w:ascii="Times New Roman" w:cs="Times New Roman" w:eastAsia="Times New Roman" w:hAnsi="Times New Roman"/>
          <w:sz w:val="22"/>
          <w:szCs w:val="22"/>
          <w:color w:val="auto"/>
        </w:rPr>
        <w:t xml:space="preserve"> to make the Standard of Conduct Determination shall have been selected within twenty</w:t>
      </w:r>
    </w:p>
    <w:p>
      <w:pPr>
        <w:spacing w:after="0" w:line="1" w:lineRule="exact"/>
        <w:rPr>
          <w:sz w:val="20"/>
          <w:szCs w:val="20"/>
          <w:color w:val="auto"/>
        </w:rPr>
      </w:pPr>
    </w:p>
    <w:p>
      <w:pPr>
        <w:jc w:val="both"/>
        <w:ind w:left="860" w:right="219" w:hanging="3"/>
        <w:spacing w:after="0" w:line="231" w:lineRule="auto"/>
        <w:tabs>
          <w:tab w:leader="none" w:pos="130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the Company gives its initial notice pursuant to the first sentence of this </w:t>
      </w:r>
      <w:r>
        <w:rPr>
          <w:rFonts w:ascii="Times New Roman" w:cs="Times New Roman" w:eastAsia="Times New Roman" w:hAnsi="Times New Roman"/>
          <w:sz w:val="22"/>
          <w:szCs w:val="22"/>
          <w:b w:val="1"/>
          <w:bCs w:val="1"/>
          <w:color w:val="auto"/>
        </w:rPr>
        <w:t xml:space="preserve">Section 9(e) </w:t>
      </w:r>
      <w:r>
        <w:rPr>
          <w:rFonts w:ascii="Times New Roman" w:cs="Times New Roman" w:eastAsia="Times New Roman" w:hAnsi="Times New Roman"/>
          <w:sz w:val="22"/>
          <w:szCs w:val="22"/>
          <w:color w:val="auto"/>
        </w:rPr>
        <w:t>or Indemnitee gives its initial notice pursuant to the second sentence of this</w:t>
      </w:r>
      <w:r>
        <w:rPr>
          <w:rFonts w:ascii="Times New Roman" w:cs="Times New Roman" w:eastAsia="Times New Roman" w:hAnsi="Times New Roman"/>
          <w:sz w:val="22"/>
          <w:szCs w:val="22"/>
          <w:b w:val="1"/>
          <w:bCs w:val="1"/>
          <w:color w:val="auto"/>
        </w:rPr>
        <w:t xml:space="preserve"> Section 9(e)</w:t>
      </w:r>
      <w:r>
        <w:rPr>
          <w:rFonts w:ascii="Times New Roman" w:cs="Times New Roman" w:eastAsia="Times New Roman" w:hAnsi="Times New Roman"/>
          <w:sz w:val="22"/>
          <w:szCs w:val="22"/>
          <w:color w:val="auto"/>
        </w:rPr>
        <w:t>, as the case may be, either the Company or Indemnitee may petition the Court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Chancery of the State of Delaware (“</w:t>
      </w:r>
      <w:r>
        <w:rPr>
          <w:rFonts w:ascii="Times New Roman" w:cs="Times New Roman" w:eastAsia="Times New Roman" w:hAnsi="Times New Roman"/>
          <w:sz w:val="22"/>
          <w:szCs w:val="22"/>
          <w:i w:val="1"/>
          <w:iCs w:val="1"/>
          <w:color w:val="auto"/>
        </w:rPr>
        <w:t>Delaware Court</w:t>
      </w:r>
      <w:r>
        <w:rPr>
          <w:rFonts w:ascii="Times New Roman" w:cs="Times New Roman" w:eastAsia="Times New Roman" w:hAnsi="Times New Roman"/>
          <w:sz w:val="22"/>
          <w:szCs w:val="22"/>
          <w:color w:val="auto"/>
        </w:rPr>
        <w:t xml:space="preserve">”) to resolve any objection which shall have been made by the Company or Indemnitee to the other's selection of Independent Counsel and/or to appoint as Independent Counsel a person to be selected by the Court or such other person as the Court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w:t>
      </w:r>
      <w:r>
        <w:rPr>
          <w:rFonts w:ascii="Times New Roman" w:cs="Times New Roman" w:eastAsia="Times New Roman" w:hAnsi="Times New Roman"/>
          <w:sz w:val="22"/>
          <w:szCs w:val="22"/>
          <w:b w:val="1"/>
          <w:bCs w:val="1"/>
          <w:color w:val="auto"/>
        </w:rPr>
        <w:t>Section 9(b)</w:t>
      </w:r>
      <w:r>
        <w:rPr>
          <w:rFonts w:ascii="Times New Roman" w:cs="Times New Roman" w:eastAsia="Times New Roman" w:hAnsi="Times New Roman"/>
          <w:sz w:val="22"/>
          <w:szCs w:val="22"/>
          <w:color w:val="auto"/>
        </w:rPr>
        <w:t>.</w:t>
      </w:r>
    </w:p>
    <w:p>
      <w:pPr>
        <w:spacing w:after="0" w:line="7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Presumptions and Defenses</w:t>
      </w:r>
      <w:r>
        <w:rPr>
          <w:rFonts w:ascii="Times New Roman" w:cs="Times New Roman" w:eastAsia="Times New Roman" w:hAnsi="Times New Roman"/>
          <w:sz w:val="22"/>
          <w:szCs w:val="22"/>
          <w:u w:val="single" w:color="auto"/>
          <w:color w:val="auto"/>
        </w:rPr>
        <w:t>.</w:t>
      </w:r>
    </w:p>
    <w:p>
      <w:pPr>
        <w:spacing w:after="0" w:line="98" w:lineRule="exact"/>
        <w:rPr>
          <w:rFonts w:ascii="Times New Roman" w:cs="Times New Roman" w:eastAsia="Times New Roman" w:hAnsi="Times New Roman"/>
          <w:sz w:val="22"/>
          <w:szCs w:val="22"/>
          <w:b w:val="1"/>
          <w:bCs w:val="1"/>
          <w:color w:val="auto"/>
        </w:rPr>
      </w:pPr>
    </w:p>
    <w:p>
      <w:pPr>
        <w:jc w:val="both"/>
        <w:ind w:left="1500" w:right="219" w:firstLine="653"/>
        <w:spacing w:after="0" w:line="233" w:lineRule="auto"/>
        <w:tabs>
          <w:tab w:leader="none" w:pos="2796" w:val="left"/>
        </w:tabs>
        <w:numPr>
          <w:ilvl w:val="2"/>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Indemnitee's Entitlement to Indemnification</w:t>
      </w:r>
      <w:r>
        <w:rPr>
          <w:rFonts w:ascii="Times New Roman" w:cs="Times New Roman" w:eastAsia="Times New Roman" w:hAnsi="Times New Roman"/>
          <w:sz w:val="22"/>
          <w:szCs w:val="22"/>
          <w:color w:val="auto"/>
        </w:rPr>
        <w:t>. In making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Standard of Conduct Determination, the person or persons making such determination shall presume that Indemnitee has satisfied the applicable standard of conduct and is entitled to indemnification, and the Company shall have the burden of proof to overcome that presumption and establish that Indemnitee is not so entitled. Any Standard of Conduct Determination that is adverse to Indemnitee may be challenged by the Indemnitee in the Delaware Court. No determination by the Company (including by its directors or any Independent Counsel) that Indemnitee has not satisfied any applicable standard of conduct may be used as a defense to any legal proceedings brought by Indemnitee to secure indemnification or reimbursement or advance payment of Expenses by the Company hereunder or create a presumption that Indemnitee has not met any applicable standard of conduct.</w:t>
      </w:r>
    </w:p>
    <w:p>
      <w:pPr>
        <w:spacing w:after="0" w:line="74" w:lineRule="exact"/>
        <w:rPr>
          <w:rFonts w:ascii="Times New Roman" w:cs="Times New Roman" w:eastAsia="Times New Roman" w:hAnsi="Times New Roman"/>
          <w:sz w:val="22"/>
          <w:szCs w:val="22"/>
          <w:b w:val="1"/>
          <w:bCs w:val="1"/>
          <w:color w:val="auto"/>
        </w:rPr>
      </w:pPr>
    </w:p>
    <w:p>
      <w:pPr>
        <w:jc w:val="both"/>
        <w:ind w:left="1500" w:right="219" w:firstLine="653"/>
        <w:spacing w:after="0" w:line="244" w:lineRule="auto"/>
        <w:tabs>
          <w:tab w:leader="none" w:pos="2796" w:val="left"/>
        </w:tabs>
        <w:numPr>
          <w:ilvl w:val="2"/>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Reliance as a Safe Harbor</w:t>
      </w:r>
      <w:r>
        <w:rPr>
          <w:rFonts w:ascii="Times New Roman" w:cs="Times New Roman" w:eastAsia="Times New Roman" w:hAnsi="Times New Roman"/>
          <w:sz w:val="21"/>
          <w:szCs w:val="21"/>
          <w:color w:val="auto"/>
        </w:rPr>
        <w:t>. For purposes of this Agreement,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41" w:name="page42"/>
    <w:bookmarkEnd w:id="41"/>
    <w:p>
      <w:pPr>
        <w:jc w:val="both"/>
        <w:ind w:left="1500" w:right="219" w:firstLine="653"/>
        <w:spacing w:after="0" w:line="237" w:lineRule="auto"/>
        <w:tabs>
          <w:tab w:leader="none" w:pos="2796" w:val="left"/>
        </w:tabs>
        <w:numPr>
          <w:ilvl w:val="2"/>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No Other Presumptions</w:t>
      </w:r>
      <w:r>
        <w:rPr>
          <w:rFonts w:ascii="Times New Roman" w:cs="Times New Roman" w:eastAsia="Times New Roman" w:hAnsi="Times New Roman"/>
          <w:sz w:val="22"/>
          <w:szCs w:val="22"/>
          <w:color w:val="auto"/>
        </w:rPr>
        <w:t>. For purposes of this Agreement,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termination of any Claim by judgment, order, settlement (whether with or without court approval) or conviction, or upon a plea of nolo contendere or its equivalent, will not create a presumption that Indemnitee did not meet any applicable standard of conduct or have any particular belief, or that indemnification hereunder is otherwise not permitted.</w:t>
      </w:r>
    </w:p>
    <w:p>
      <w:pPr>
        <w:spacing w:after="0" w:line="67" w:lineRule="exact"/>
        <w:rPr>
          <w:rFonts w:ascii="Times New Roman" w:cs="Times New Roman" w:eastAsia="Times New Roman" w:hAnsi="Times New Roman"/>
          <w:sz w:val="22"/>
          <w:szCs w:val="22"/>
          <w:b w:val="1"/>
          <w:bCs w:val="1"/>
          <w:color w:val="auto"/>
        </w:rPr>
      </w:pPr>
    </w:p>
    <w:p>
      <w:pPr>
        <w:jc w:val="both"/>
        <w:ind w:left="1500" w:right="219" w:firstLine="653"/>
        <w:spacing w:after="0" w:line="235" w:lineRule="auto"/>
        <w:tabs>
          <w:tab w:leader="none" w:pos="2796" w:val="left"/>
        </w:tabs>
        <w:numPr>
          <w:ilvl w:val="2"/>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Defense to Indemnification and Burden of Proof</w:t>
      </w:r>
      <w:r>
        <w:rPr>
          <w:rFonts w:ascii="Times New Roman" w:cs="Times New Roman" w:eastAsia="Times New Roman" w:hAnsi="Times New Roman"/>
          <w:sz w:val="22"/>
          <w:szCs w:val="22"/>
          <w:color w:val="auto"/>
        </w:rPr>
        <w:t>. It shall be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 In connection with any such action or any related Standard of Conduct Determination, the burden of proving such a defense or that the Indemnitee did not satisfy the applicable standard of conduct shall be on the Company.</w:t>
      </w:r>
    </w:p>
    <w:p>
      <w:pPr>
        <w:spacing w:after="0" w:line="173" w:lineRule="exact"/>
        <w:rPr>
          <w:rFonts w:ascii="Times New Roman" w:cs="Times New Roman" w:eastAsia="Times New Roman" w:hAnsi="Times New Roman"/>
          <w:sz w:val="22"/>
          <w:szCs w:val="22"/>
          <w:b w:val="1"/>
          <w:bCs w:val="1"/>
          <w:color w:val="auto"/>
        </w:rPr>
      </w:pPr>
    </w:p>
    <w:p>
      <w:pPr>
        <w:ind w:left="200" w:right="219" w:firstLine="657"/>
        <w:spacing w:after="0" w:line="264" w:lineRule="auto"/>
        <w:tabs>
          <w:tab w:leader="none" w:pos="1496"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Exclusions from Indemnification</w:t>
      </w:r>
      <w:r>
        <w:rPr>
          <w:rFonts w:ascii="Times New Roman" w:cs="Times New Roman" w:eastAsia="Times New Roman" w:hAnsi="Times New Roman"/>
          <w:sz w:val="22"/>
          <w:szCs w:val="22"/>
          <w:color w:val="auto"/>
        </w:rPr>
        <w:t>. Notwithstanding anything in this Agreement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contrary, the Company shall not be obligated to:</w:t>
      </w:r>
    </w:p>
    <w:p>
      <w:pPr>
        <w:spacing w:after="0" w:line="43" w:lineRule="exact"/>
        <w:rPr>
          <w:rFonts w:ascii="Times New Roman" w:cs="Times New Roman" w:eastAsia="Times New Roman" w:hAnsi="Times New Roman"/>
          <w:sz w:val="22"/>
          <w:szCs w:val="22"/>
          <w:b w:val="1"/>
          <w:bCs w:val="1"/>
          <w:color w:val="auto"/>
        </w:rPr>
      </w:pPr>
    </w:p>
    <w:p>
      <w:pPr>
        <w:jc w:val="both"/>
        <w:ind w:left="860" w:right="219" w:firstLine="645"/>
        <w:spacing w:after="0" w:line="239" w:lineRule="auto"/>
        <w:tabs>
          <w:tab w:leader="none" w:pos="2156"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indemnify or advance funds to Indemnitee for Expenses or Losses with respect to proceedings initiated by Indemnitee, including any proceedings against the Company or its directors, officers, employees or other indemnitees and not by way of defense, except:</w:t>
      </w:r>
    </w:p>
    <w:p>
      <w:pPr>
        <w:spacing w:after="0" w:line="68" w:lineRule="exact"/>
        <w:rPr>
          <w:rFonts w:ascii="Times New Roman" w:cs="Times New Roman" w:eastAsia="Times New Roman" w:hAnsi="Times New Roman"/>
          <w:sz w:val="22"/>
          <w:szCs w:val="22"/>
          <w:b w:val="1"/>
          <w:bCs w:val="1"/>
          <w:color w:val="auto"/>
        </w:rPr>
      </w:pPr>
    </w:p>
    <w:p>
      <w:pPr>
        <w:jc w:val="both"/>
        <w:ind w:left="1500" w:right="219" w:firstLine="653"/>
        <w:spacing w:after="0" w:line="246" w:lineRule="auto"/>
        <w:tabs>
          <w:tab w:leader="none" w:pos="2796" w:val="left"/>
        </w:tabs>
        <w:numPr>
          <w:ilvl w:val="2"/>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proceedings referenced in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 xml:space="preserve"> above (unless a court of competent jurisdiction determines that each of the material assertions made by Indemnitee in such proceeding was not made in good faith or was frivolous); or</w:t>
      </w:r>
    </w:p>
    <w:p>
      <w:pPr>
        <w:spacing w:after="0" w:line="200" w:lineRule="exact"/>
        <w:rPr>
          <w:rFonts w:ascii="Times New Roman" w:cs="Times New Roman" w:eastAsia="Times New Roman" w:hAnsi="Times New Roman"/>
          <w:sz w:val="22"/>
          <w:szCs w:val="22"/>
          <w:b w:val="1"/>
          <w:bCs w:val="1"/>
          <w:color w:val="auto"/>
        </w:rPr>
      </w:pPr>
    </w:p>
    <w:p>
      <w:pPr>
        <w:spacing w:after="0" w:line="214" w:lineRule="exact"/>
        <w:rPr>
          <w:rFonts w:ascii="Times New Roman" w:cs="Times New Roman" w:eastAsia="Times New Roman" w:hAnsi="Times New Roman"/>
          <w:sz w:val="22"/>
          <w:szCs w:val="22"/>
          <w:b w:val="1"/>
          <w:bCs w:val="1"/>
          <w:color w:val="auto"/>
        </w:rPr>
      </w:pPr>
    </w:p>
    <w:p>
      <w:pPr>
        <w:ind w:left="1500" w:right="219" w:firstLine="653"/>
        <w:spacing w:after="0" w:line="258" w:lineRule="auto"/>
        <w:tabs>
          <w:tab w:leader="none" w:pos="2796" w:val="left"/>
        </w:tabs>
        <w:numPr>
          <w:ilvl w:val="2"/>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where the Company has joined in or the Board has consented to the initiation of such proceedings.</w:t>
      </w:r>
    </w:p>
    <w:p>
      <w:pPr>
        <w:spacing w:after="0" w:line="200" w:lineRule="exact"/>
        <w:rPr>
          <w:rFonts w:ascii="Times New Roman" w:cs="Times New Roman" w:eastAsia="Times New Roman" w:hAnsi="Times New Roman"/>
          <w:sz w:val="22"/>
          <w:szCs w:val="22"/>
          <w:b w:val="1"/>
          <w:bCs w:val="1"/>
          <w:color w:val="auto"/>
        </w:rPr>
      </w:pPr>
    </w:p>
    <w:p>
      <w:pPr>
        <w:spacing w:after="0" w:line="201" w:lineRule="exact"/>
        <w:rPr>
          <w:rFonts w:ascii="Times New Roman" w:cs="Times New Roman" w:eastAsia="Times New Roman" w:hAnsi="Times New Roman"/>
          <w:sz w:val="22"/>
          <w:szCs w:val="22"/>
          <w:b w:val="1"/>
          <w:bCs w:val="1"/>
          <w:color w:val="auto"/>
        </w:rPr>
      </w:pPr>
    </w:p>
    <w:p>
      <w:pPr>
        <w:ind w:left="860" w:right="219" w:firstLine="645"/>
        <w:spacing w:after="0" w:line="258" w:lineRule="auto"/>
        <w:tabs>
          <w:tab w:leader="none" w:pos="2156"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indemnify Indemnitee if a final decision by a court of competent jurisdiction determines that such indemnification is prohibited by applicable law.</w:t>
      </w:r>
    </w:p>
    <w:p>
      <w:pPr>
        <w:spacing w:after="0" w:line="50" w:lineRule="exact"/>
        <w:rPr>
          <w:rFonts w:ascii="Times New Roman" w:cs="Times New Roman" w:eastAsia="Times New Roman" w:hAnsi="Times New Roman"/>
          <w:sz w:val="22"/>
          <w:szCs w:val="22"/>
          <w:b w:val="1"/>
          <w:bCs w:val="1"/>
          <w:color w:val="auto"/>
        </w:rPr>
      </w:pPr>
    </w:p>
    <w:p>
      <w:pPr>
        <w:jc w:val="both"/>
        <w:ind w:left="860" w:right="219" w:firstLine="645"/>
        <w:spacing w:after="0" w:line="244" w:lineRule="auto"/>
        <w:tabs>
          <w:tab w:leader="none" w:pos="2156"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indemnify Indemnitee for the disgorgement of profits arising from the purchase or sale by Indemnitee of securities of the Company in violation of Section 16(b) of the Exchange Act, or any similar successor statute.</w:t>
      </w:r>
    </w:p>
    <w:p>
      <w:pPr>
        <w:spacing w:after="0" w:line="65" w:lineRule="exact"/>
        <w:rPr>
          <w:rFonts w:ascii="Times New Roman" w:cs="Times New Roman" w:eastAsia="Times New Roman" w:hAnsi="Times New Roman"/>
          <w:sz w:val="22"/>
          <w:szCs w:val="22"/>
          <w:b w:val="1"/>
          <w:bCs w:val="1"/>
          <w:color w:val="auto"/>
        </w:rPr>
      </w:pPr>
    </w:p>
    <w:p>
      <w:pPr>
        <w:jc w:val="both"/>
        <w:ind w:left="860" w:right="219" w:firstLine="645"/>
        <w:spacing w:after="0" w:line="235" w:lineRule="auto"/>
        <w:tabs>
          <w:tab w:leader="none" w:pos="2156"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indemnify or advance funds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in connection with an accounting restatement of the Company or the payment to the Company of profits arising from the purchase or sale by Indemnitee of securities in violation of Section 306 of the Sarbanes-Oxley Act).</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42" w:name="page43"/>
    <w:bookmarkEnd w:id="42"/>
    <w:p>
      <w:pPr>
        <w:jc w:val="both"/>
        <w:ind w:left="200" w:right="219" w:firstLine="657"/>
        <w:spacing w:after="0" w:line="237" w:lineRule="auto"/>
        <w:tabs>
          <w:tab w:leader="none" w:pos="149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Settlement of Claims</w:t>
      </w:r>
      <w:r>
        <w:rPr>
          <w:rFonts w:ascii="Times New Roman" w:cs="Times New Roman" w:eastAsia="Times New Roman" w:hAnsi="Times New Roman"/>
          <w:sz w:val="22"/>
          <w:szCs w:val="22"/>
          <w:color w:val="auto"/>
        </w:rPr>
        <w:t>. The Company shall not be liable to Indemnitee under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for any amounts paid in settlement of any threatened or pending Claim related to an Indemnifiable Event effected without the Company's prior written consent, which shall not be unreasonably withheld. The Company shall not settle any Claim related to an Indemnifiable Event in any manner that would impose any Losses on the Indemnitee without the Indemnitee's prior written consent.</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657"/>
        <w:spacing w:after="0" w:line="248" w:lineRule="auto"/>
        <w:tabs>
          <w:tab w:leader="none" w:pos="1496"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Duration</w:t>
      </w:r>
      <w:r>
        <w:rPr>
          <w:rFonts w:ascii="Times New Roman" w:cs="Times New Roman" w:eastAsia="Times New Roman" w:hAnsi="Times New Roman"/>
          <w:sz w:val="21"/>
          <w:szCs w:val="21"/>
          <w:color w:val="auto"/>
        </w:rPr>
        <w:t>. All agreements and obligations of the Company contained herein shall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continue during the period that Indemnitee is a director or officer of the Company (or is serving at the request of the Company as a director, officer, employee, member, trustee or agent of another Enterprise) and shall continue thereafter (i)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spacing w:after="0" w:line="163" w:lineRule="exact"/>
        <w:rPr>
          <w:rFonts w:ascii="Times New Roman" w:cs="Times New Roman" w:eastAsia="Times New Roman" w:hAnsi="Times New Roman"/>
          <w:sz w:val="21"/>
          <w:szCs w:val="21"/>
          <w:b w:val="1"/>
          <w:bCs w:val="1"/>
          <w:color w:val="auto"/>
        </w:rPr>
      </w:pPr>
    </w:p>
    <w:p>
      <w:pPr>
        <w:jc w:val="both"/>
        <w:ind w:left="200" w:right="219" w:firstLine="657"/>
        <w:spacing w:after="0" w:line="234" w:lineRule="auto"/>
        <w:tabs>
          <w:tab w:leader="none" w:pos="149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Non-Exclusivity</w:t>
      </w:r>
      <w:r>
        <w:rPr>
          <w:rFonts w:ascii="Times New Roman" w:cs="Times New Roman" w:eastAsia="Times New Roman" w:hAnsi="Times New Roman"/>
          <w:sz w:val="22"/>
          <w:szCs w:val="22"/>
          <w:color w:val="auto"/>
        </w:rPr>
        <w:t>. The rights of Indemnitee hereunder will be in addition to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other rights Indemnitee may have under the Constituent Documents, the General Corporation Law of the State of Delaware, any other contract or otherwise (collectively, “</w:t>
      </w:r>
      <w:r>
        <w:rPr>
          <w:rFonts w:ascii="Times New Roman" w:cs="Times New Roman" w:eastAsia="Times New Roman" w:hAnsi="Times New Roman"/>
          <w:sz w:val="22"/>
          <w:szCs w:val="22"/>
          <w:i w:val="1"/>
          <w:iCs w:val="1"/>
          <w:color w:val="auto"/>
        </w:rPr>
        <w:t>Other Indemnity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Provisions</w:t>
      </w:r>
      <w:r>
        <w:rPr>
          <w:rFonts w:ascii="Times New Roman" w:cs="Times New Roman" w:eastAsia="Times New Roman" w:hAnsi="Times New Roman"/>
          <w:sz w:val="22"/>
          <w:szCs w:val="22"/>
          <w:color w:val="auto"/>
        </w:rPr>
        <w:t>”); provided, however, that (a) to the extent that Indemnitee otherwise would have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greater right to indemnification under any Other Indemnity Provision, Indemnitee will be deemed to have such greater right hereunder and (b) to the extent that any change is made to any Other Indemnity Provision which permits any greater right to indemnification than that provided under this Agreement as of the date hereof, Indemnitee will be deemed to have such greater right hereunder. The Company will not adopt any amendment to any of the Constituent Documents the effect of which would be to deny, diminish or encumber Indemnitee's right to indemnification under this Agreement or any Other Indemnity Provision.</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657"/>
        <w:spacing w:after="0" w:line="245" w:lineRule="auto"/>
        <w:tabs>
          <w:tab w:leader="none" w:pos="1496"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Liability Insurance</w:t>
      </w:r>
      <w:r>
        <w:rPr>
          <w:rFonts w:ascii="Times New Roman" w:cs="Times New Roman" w:eastAsia="Times New Roman" w:hAnsi="Times New Roman"/>
          <w:sz w:val="21"/>
          <w:szCs w:val="21"/>
          <w:color w:val="auto"/>
        </w:rPr>
        <w:t>. For the duration of Indemnitee's service as a [director/officer]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the Company, and thereafter for so long as Indemnitee shall be subject to any pending Claim relating to an Indemnifiable Event, the Company shall use commercially reasonable efforts (taking into account the scope and amount of coverage available relative to the cost thereof) to continue to maintain in effect policies of directors' and officers' liability insurance providing coverage that is at least substantially comparable in scope and amount to that provided by the Company's current policies of directors' and officers' liability insurance. In all policies of directors' and officers' liability insurance maintained by the Company, Indemnitee shall be named as an insured in such a manner as to provide Indemnitee the same rights and benefits as are provided to the most favorably insured of the Company's directors, if Indemnitee is a director, or of the Company's officers, if Indemnitee is an officer (and not a director) by such policy. Upon request, the Company will provide to Indemnitee copies of all directors' and officers' liability insurance applications, binders, policies, declarations, endorsements and other related materials.</w:t>
      </w:r>
    </w:p>
    <w:p>
      <w:pPr>
        <w:spacing w:after="0" w:line="170" w:lineRule="exact"/>
        <w:rPr>
          <w:rFonts w:ascii="Times New Roman" w:cs="Times New Roman" w:eastAsia="Times New Roman" w:hAnsi="Times New Roman"/>
          <w:sz w:val="21"/>
          <w:szCs w:val="21"/>
          <w:b w:val="1"/>
          <w:bCs w:val="1"/>
          <w:color w:val="auto"/>
        </w:rPr>
      </w:pPr>
    </w:p>
    <w:p>
      <w:pPr>
        <w:jc w:val="both"/>
        <w:ind w:left="200" w:right="219" w:firstLine="657"/>
        <w:spacing w:after="0" w:line="239" w:lineRule="auto"/>
        <w:tabs>
          <w:tab w:leader="none" w:pos="149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No Duplication of Payments</w:t>
      </w:r>
      <w:r>
        <w:rPr>
          <w:rFonts w:ascii="Times New Roman" w:cs="Times New Roman" w:eastAsia="Times New Roman" w:hAnsi="Times New Roman"/>
          <w:sz w:val="22"/>
          <w:szCs w:val="22"/>
          <w:color w:val="auto"/>
        </w:rPr>
        <w:t>. The Company shall not be liable under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to make any payment to Indemnitee in respect of any Losses to the extent Indemnitee has otherwise received payment under any insurance policy, the Constituent Documents, Other Indemnity Provisions or otherwise of the amounts otherwise indemnifiable by the Company hereunder.</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43" w:name="page44"/>
    <w:bookmarkEnd w:id="43"/>
    <w:p>
      <w:pPr>
        <w:jc w:val="both"/>
        <w:ind w:left="200" w:right="219" w:firstLine="657"/>
        <w:spacing w:after="0" w:line="239" w:lineRule="auto"/>
        <w:tabs>
          <w:tab w:leader="none" w:pos="1496"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Subrogation</w:t>
      </w:r>
      <w:r>
        <w:rPr>
          <w:rFonts w:ascii="Times New Roman" w:cs="Times New Roman" w:eastAsia="Times New Roman" w:hAnsi="Times New Roman"/>
          <w:sz w:val="22"/>
          <w:szCs w:val="22"/>
          <w:color w:val="auto"/>
        </w:rPr>
        <w:t>. In the event of payment to Indemnitee under this Agreement,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shall be subrogated to the extent of such payment to all of the rights of recovery of Indemnitee. Indemnitee shall execute all papers required and shall do everything that may be necessary to secure such rights, including the execution of such documents necessary to enable the Company effectively to bring suit to enforce such rights.</w:t>
      </w:r>
    </w:p>
    <w:p>
      <w:pPr>
        <w:spacing w:after="0" w:line="171" w:lineRule="exact"/>
        <w:rPr>
          <w:rFonts w:ascii="Times New Roman" w:cs="Times New Roman" w:eastAsia="Times New Roman" w:hAnsi="Times New Roman"/>
          <w:sz w:val="22"/>
          <w:szCs w:val="22"/>
          <w:b w:val="1"/>
          <w:bCs w:val="1"/>
          <w:color w:val="auto"/>
        </w:rPr>
      </w:pPr>
    </w:p>
    <w:p>
      <w:pPr>
        <w:jc w:val="both"/>
        <w:ind w:left="200" w:right="219" w:firstLine="657"/>
        <w:spacing w:after="0" w:line="236" w:lineRule="auto"/>
        <w:tabs>
          <w:tab w:leader="none" w:pos="1496"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Amendments</w:t>
      </w:r>
      <w:r>
        <w:rPr>
          <w:rFonts w:ascii="Times New Roman" w:cs="Times New Roman" w:eastAsia="Times New Roman" w:hAnsi="Times New Roman"/>
          <w:sz w:val="22"/>
          <w:szCs w:val="22"/>
          <w:color w:val="auto"/>
        </w:rPr>
        <w:t>. No supplement, modification or amendment of this Agreement shall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657"/>
        <w:spacing w:after="0" w:line="234" w:lineRule="auto"/>
        <w:tabs>
          <w:tab w:leader="none" w:pos="1496"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Binding Effect</w:t>
      </w:r>
      <w:r>
        <w:rPr>
          <w:rFonts w:ascii="Times New Roman" w:cs="Times New Roman" w:eastAsia="Times New Roman" w:hAnsi="Times New Roman"/>
          <w:sz w:val="22"/>
          <w:szCs w:val="22"/>
          <w:color w:val="auto"/>
        </w:rPr>
        <w:t>. This Agreement shall be binding upon and inure to the benefit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substances satisfactory to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22"/>
          <w:szCs w:val="22"/>
          <w:b w:val="1"/>
          <w:bCs w:val="1"/>
          <w:color w:val="auto"/>
        </w:rPr>
      </w:pPr>
    </w:p>
    <w:p>
      <w:pPr>
        <w:jc w:val="both"/>
        <w:ind w:left="200" w:right="219" w:firstLine="657"/>
        <w:spacing w:after="0" w:line="235" w:lineRule="auto"/>
        <w:tabs>
          <w:tab w:leader="none" w:pos="1496"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Severability</w:t>
      </w:r>
      <w:r>
        <w:rPr>
          <w:rFonts w:ascii="Times New Roman" w:cs="Times New Roman" w:eastAsia="Times New Roman" w:hAnsi="Times New Roman"/>
          <w:sz w:val="22"/>
          <w:szCs w:val="22"/>
          <w:color w:val="auto"/>
        </w:rPr>
        <w:t>. The provisions of this Agreement shall be severable in the event that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any of the provisions hereof (including any portion thereof) are held by a court of competent jurisdiction to be invalid, illegal, void or otherwise unenforceable, and the remaining provisions shall remain enforceable to the fullest extent permitted by law.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8" w:lineRule="exact"/>
        <w:rPr>
          <w:rFonts w:ascii="Times New Roman" w:cs="Times New Roman" w:eastAsia="Times New Roman" w:hAnsi="Times New Roman"/>
          <w:sz w:val="22"/>
          <w:szCs w:val="22"/>
          <w:b w:val="1"/>
          <w:bCs w:val="1"/>
          <w:color w:val="auto"/>
        </w:rPr>
      </w:pPr>
    </w:p>
    <w:p>
      <w:pPr>
        <w:jc w:val="both"/>
        <w:ind w:left="200" w:right="219" w:firstLine="657"/>
        <w:spacing w:after="0" w:line="247" w:lineRule="auto"/>
        <w:tabs>
          <w:tab w:leader="none" w:pos="1496"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Notices</w:t>
      </w:r>
      <w:r>
        <w:rPr>
          <w:rFonts w:ascii="Times New Roman" w:cs="Times New Roman" w:eastAsia="Times New Roman" w:hAnsi="Times New Roman"/>
          <w:sz w:val="22"/>
          <w:szCs w:val="22"/>
          <w:color w:val="auto"/>
        </w:rPr>
        <w:t>. All notices, requests, demands and other communications hereunder shall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 in writing and shall be deemed to have been duly given if delivered by hand, against receipt, or mailed, by postage prepaid, certified or registered mail:</w:t>
      </w:r>
    </w:p>
    <w:p>
      <w:pPr>
        <w:spacing w:after="0" w:line="61"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to Indemnitee, to the address set forth on the signature page hereto.</w:t>
      </w:r>
    </w:p>
    <w:p>
      <w:pPr>
        <w:spacing w:after="0" w:line="98"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to the Company, to: NLI Holdings, Inc.</w:t>
      </w:r>
    </w:p>
    <w:p>
      <w:pPr>
        <w:spacing w:after="0" w:line="1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5430 LBJ Freeway</w:t>
      </w:r>
    </w:p>
    <w:p>
      <w:pPr>
        <w:spacing w:after="0" w:line="1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Suite 1700</w:t>
      </w:r>
    </w:p>
    <w:p>
      <w:pPr>
        <w:spacing w:after="0" w:line="1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Dallas, Texas 75240</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44" w:name="page45"/>
    <w:bookmarkEnd w:id="44"/>
    <w:p>
      <w:pPr>
        <w:jc w:val="both"/>
        <w:ind w:left="200" w:right="219" w:firstLine="1296"/>
        <w:spacing w:after="0" w:line="263" w:lineRule="auto"/>
        <w:rPr>
          <w:sz w:val="20"/>
          <w:szCs w:val="20"/>
          <w:color w:val="auto"/>
        </w:rPr>
      </w:pPr>
      <w:r>
        <w:rPr>
          <w:rFonts w:ascii="Times New Roman" w:cs="Times New Roman" w:eastAsia="Times New Roman" w:hAnsi="Times New Roman"/>
          <w:sz w:val="22"/>
          <w:szCs w:val="22"/>
          <w:color w:val="auto"/>
        </w:rPr>
        <w:t>Notice of change of address shall be effective only when given in accordance with this Section. All notices complying with this Section shall be deemed to have been received on the date of hand delivery or on the third business day after mailing.</w:t>
      </w:r>
    </w:p>
    <w:p>
      <w:pPr>
        <w:spacing w:after="0" w:line="148" w:lineRule="exact"/>
        <w:rPr>
          <w:sz w:val="20"/>
          <w:szCs w:val="20"/>
          <w:color w:val="auto"/>
        </w:rPr>
      </w:pPr>
    </w:p>
    <w:p>
      <w:pPr>
        <w:jc w:val="both"/>
        <w:ind w:left="200" w:right="219" w:firstLine="657"/>
        <w:spacing w:after="0" w:line="233" w:lineRule="auto"/>
        <w:tabs>
          <w:tab w:leader="none" w:pos="1496"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Governing Law and Forum</w:t>
      </w:r>
      <w:r>
        <w:rPr>
          <w:rFonts w:ascii="Times New Roman" w:cs="Times New Roman" w:eastAsia="Times New Roman" w:hAnsi="Times New Roman"/>
          <w:sz w:val="22"/>
          <w:szCs w:val="22"/>
          <w:color w:val="auto"/>
        </w:rPr>
        <w:t>. This Agreement shall be governed by and construed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enforced in accordance with the laws of the State of Delaware applicable to contracts made and to be performed in such state without giving effect to its principles of conflicts of laws. The Company and Indemnitee hereby irrevocably and unconditionally: (a) agree that any action or proceeding arising out of or in connection with this Agreement shall be brought only in the Delaware Court and not in any other state or federal court in the United States, (b) consent to submit to the exclusive jurisdiction of the Delaware Court for purposes of any action or proceeding arising out of or in connection with this Agreement, (c) appoint, to the extent such party is not otherwise subject to service of process in the State of Delaware, Corporation Service Company, 251 Little Falls Drive, Wilmington, Delaware 19808 as its agent in the State of Delaware for acceptance of legal process in connection with any such action or proceeding against such party with the same legal force and validity as if served upon such party personally within the State of Delaware, and (d) waive, and agree not to plead or make, any claim that the Delaware Court lacks venue or that any such action or proceeding brought in the Delaware Court has been brought in an improper or inconvenient forum.</w:t>
      </w:r>
    </w:p>
    <w:p>
      <w:pPr>
        <w:spacing w:after="0" w:line="177" w:lineRule="exact"/>
        <w:rPr>
          <w:rFonts w:ascii="Times New Roman" w:cs="Times New Roman" w:eastAsia="Times New Roman" w:hAnsi="Times New Roman"/>
          <w:sz w:val="22"/>
          <w:szCs w:val="22"/>
          <w:b w:val="1"/>
          <w:bCs w:val="1"/>
          <w:color w:val="auto"/>
        </w:rPr>
      </w:pPr>
    </w:p>
    <w:p>
      <w:pPr>
        <w:jc w:val="both"/>
        <w:ind w:left="200" w:right="219" w:firstLine="657"/>
        <w:spacing w:after="0" w:line="247" w:lineRule="auto"/>
        <w:tabs>
          <w:tab w:leader="none" w:pos="1496"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Headings</w:t>
      </w:r>
      <w:r>
        <w:rPr>
          <w:rFonts w:ascii="Times New Roman" w:cs="Times New Roman" w:eastAsia="Times New Roman" w:hAnsi="Times New Roman"/>
          <w:sz w:val="22"/>
          <w:szCs w:val="22"/>
          <w:color w:val="auto"/>
        </w:rPr>
        <w:t>. The headings of the sections and paragraphs of this Agreement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inserted for convenience only and shall not be deemed to constitute part of this Agreement or to affect the construction or interpretation thereof.</w:t>
      </w:r>
    </w:p>
    <w:p>
      <w:pPr>
        <w:spacing w:after="0" w:line="163" w:lineRule="exact"/>
        <w:rPr>
          <w:rFonts w:ascii="Times New Roman" w:cs="Times New Roman" w:eastAsia="Times New Roman" w:hAnsi="Times New Roman"/>
          <w:sz w:val="22"/>
          <w:szCs w:val="22"/>
          <w:b w:val="1"/>
          <w:bCs w:val="1"/>
          <w:color w:val="auto"/>
        </w:rPr>
      </w:pPr>
    </w:p>
    <w:p>
      <w:pPr>
        <w:jc w:val="both"/>
        <w:ind w:left="200" w:right="219" w:firstLine="657"/>
        <w:spacing w:after="0" w:line="247" w:lineRule="auto"/>
        <w:tabs>
          <w:tab w:leader="none" w:pos="1496"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Counterparts</w:t>
      </w:r>
      <w:r>
        <w:rPr>
          <w:rFonts w:ascii="Times New Roman" w:cs="Times New Roman" w:eastAsia="Times New Roman" w:hAnsi="Times New Roman"/>
          <w:sz w:val="22"/>
          <w:szCs w:val="22"/>
          <w:color w:val="auto"/>
        </w:rPr>
        <w:t>. This Agreement may be executed in one or more counterparts, each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which shall for all purposes be deemed to be an original, but all of which together shall constitute one and the same Agreement.</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[Section 24 to be included if the director or officer was a director or officer of NL Industries, Inc.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 the time of its merger with and into the Corporation:</w:t>
      </w:r>
    </w:p>
    <w:p>
      <w:pPr>
        <w:jc w:val="both"/>
        <w:ind w:left="200" w:right="219" w:firstLine="657"/>
        <w:spacing w:after="0" w:line="235" w:lineRule="auto"/>
        <w:tabs>
          <w:tab w:leader="none" w:pos="1496"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Prior Agreement</w:t>
      </w:r>
      <w:r>
        <w:rPr>
          <w:rFonts w:ascii="Times New Roman" w:cs="Times New Roman" w:eastAsia="Times New Roman" w:hAnsi="Times New Roman"/>
          <w:sz w:val="22"/>
          <w:szCs w:val="22"/>
          <w:color w:val="auto"/>
        </w:rPr>
        <w:t>. This Agreement supersedes the Indemnification Agreement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dated as of _________, by and between the Indemnitee and NL Industries, Inc., a New Jersey corporation, which merged with and into the Corporation effective _______, 2026.]</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5" w:name="page46"/>
    <w:bookmarkEnd w:id="45"/>
    <w:p>
      <w:pPr>
        <w:ind w:left="200" w:right="659"/>
        <w:spacing w:after="0" w:line="309"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above written.</w:t>
      </w:r>
    </w:p>
    <w:p>
      <w:pPr>
        <w:spacing w:after="0" w:line="21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NLI Holdings, Inc.</w:t>
      </w:r>
    </w:p>
    <w:p>
      <w:pPr>
        <w:spacing w:after="0" w:line="9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By: _____________________</w:t>
      </w:r>
    </w:p>
    <w:p>
      <w:pPr>
        <w:spacing w:after="0" w:line="9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Name:</w:t>
      </w:r>
    </w:p>
    <w:p>
      <w:pPr>
        <w:spacing w:after="0" w:line="9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Title:</w:t>
      </w:r>
    </w:p>
    <w:p>
      <w:pPr>
        <w:spacing w:after="0" w:line="34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INDEMNITEE</w:t>
      </w:r>
    </w:p>
    <w:p>
      <w:pPr>
        <w:spacing w:after="0" w:line="9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9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Name:</w:t>
      </w:r>
    </w:p>
    <w:p>
      <w:pPr>
        <w:spacing w:after="0" w:line="9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5430 LBJ Freeway</w:t>
      </w:r>
    </w:p>
    <w:p>
      <w:pPr>
        <w:spacing w:after="0" w:line="9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Suite 1700</w:t>
      </w:r>
    </w:p>
    <w:p>
      <w:pPr>
        <w:spacing w:after="0" w:line="9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Dallas, Texas 75240</w:t>
      </w:r>
    </w:p>
    <w:p>
      <w:pPr>
        <w:spacing w:after="0" w:line="9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9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lowerLetter"/>
      <w:start w:val="1"/>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5"/>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4"/>
    </w:lvl>
  </w:abstractNum>
  <w:abstractNum w:abstractNumId="6">
    <w:nsid w:val="75A2A8D4"/>
    <w:multiLevelType w:val="hybridMultilevel"/>
    <w:lvl w:ilvl="0">
      <w:lvlJc w:val="left"/>
      <w:lvlText w:val="(%1)"/>
      <w:numFmt w:val="lowerRoman"/>
      <w:start w:val="1"/>
    </w:lvl>
  </w:abstractNum>
  <w:abstractNum w:abstractNumId="7">
    <w:nsid w:val="8EDBDAB"/>
    <w:multiLevelType w:val="hybridMultilevel"/>
    <w:lvl w:ilvl="0">
      <w:lvlJc w:val="left"/>
      <w:lvlText w:val="(%1)"/>
      <w:numFmt w:val="lowerRoman"/>
      <w:start w:val="1"/>
    </w:lvl>
  </w:abstractNum>
  <w:abstractNum w:abstractNumId="8">
    <w:nsid w:val="79838CB2"/>
    <w:multiLevelType w:val="hybridMultilevel"/>
    <w:lvl w:ilvl="0">
      <w:lvlJc w:val="left"/>
      <w:lvlText w:val="(%1)"/>
      <w:numFmt w:val="lowerRoman"/>
      <w:start w:val="3"/>
    </w:lvl>
  </w:abstractNum>
  <w:abstractNum w:abstractNumId="9">
    <w:nsid w:val="4353D0CD"/>
    <w:multiLevelType w:val="hybridMultilevel"/>
    <w:lvl w:ilvl="0">
      <w:lvlJc w:val="left"/>
      <w:lvlText w:val="(%1)"/>
      <w:numFmt w:val="lowerRoman"/>
      <w:start w:val="1"/>
    </w:lvl>
    <w:lvl w:ilvl="1">
      <w:lvlJc w:val="left"/>
      <w:lvlText w:val="(%2)"/>
      <w:numFmt w:val="upperLetter"/>
      <w:start w:val="1"/>
    </w:lvl>
  </w:abstractNum>
  <w:abstractNum w:abstractNumId="10">
    <w:nsid w:val="B03E0C6"/>
    <w:multiLevelType w:val="hybridMultilevel"/>
    <w:lvl w:ilvl="0">
      <w:lvlJc w:val="left"/>
      <w:lvlText w:val="(%1)"/>
      <w:numFmt w:val="lowerRoman"/>
      <w:start w:val="2"/>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Letter"/>
      <w:start w:val="2"/>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Roman"/>
      <w:start w:val="1"/>
    </w:lvl>
  </w:abstractNum>
  <w:abstractNum w:abstractNumId="16">
    <w:nsid w:val="2901D82"/>
    <w:multiLevelType w:val="hybridMultilevel"/>
    <w:lvl w:ilvl="0">
      <w:lvlJc w:val="left"/>
      <w:lvlText w:val="%1"/>
      <w:numFmt w:val="lowerRoman"/>
      <w:start w:val="1"/>
    </w:lvl>
    <w:lvl w:ilvl="1">
      <w:lvlJc w:val="left"/>
      <w:lvlText w:val="(%2)"/>
      <w:numFmt w:val="upperLetter"/>
      <w:start w:val="1"/>
    </w:lvl>
  </w:abstractNum>
  <w:abstractNum w:abstractNumId="17">
    <w:nsid w:val="3A95F874"/>
    <w:multiLevelType w:val="hybridMultilevel"/>
    <w:lvl w:ilvl="0">
      <w:lvlJc w:val="left"/>
      <w:lvlText w:val="(%1)"/>
      <w:numFmt w:val="lowerRoman"/>
      <w:start w:val="2"/>
    </w:lvl>
    <w:lvl w:ilvl="1">
      <w:lvlJc w:val="left"/>
      <w:lvlText w:val="(%2)"/>
      <w:numFmt w:val="upperLetter"/>
      <w:start w:val="1"/>
    </w:lvl>
  </w:abstractNum>
  <w:abstractNum w:abstractNumId="18">
    <w:nsid w:val="8138641"/>
    <w:multiLevelType w:val="hybridMultilevel"/>
    <w:lvl w:ilvl="0">
      <w:lvlJc w:val="left"/>
      <w:lvlText w:val="%1"/>
      <w:numFmt w:val="lowerLetter"/>
      <w:start w:val="1"/>
    </w:lvl>
    <w:lvl w:ilvl="1">
      <w:lvlJc w:val="left"/>
      <w:lvlText w:val="(%2)"/>
      <w:numFmt w:val="lowerLetter"/>
      <w:start w:val="3"/>
    </w:lvl>
  </w:abstractNum>
  <w:abstractNum w:abstractNumId="19">
    <w:nsid w:val="1E7FF521"/>
    <w:multiLevelType w:val="hybridMultilevel"/>
    <w:lvl w:ilvl="0">
      <w:lvlJc w:val="left"/>
      <w:lvlText w:val="(%1)"/>
      <w:numFmt w:val="lowerLetter"/>
      <w:start w:val="9"/>
    </w:lvl>
    <w:lvl w:ilvl="1">
      <w:lvlJc w:val="left"/>
      <w:lvlText w:val="%2"/>
      <w:numFmt w:val="lowerLetter"/>
      <w:start w:val="1"/>
    </w:lvl>
  </w:abstractNum>
  <w:abstractNum w:abstractNumId="20">
    <w:nsid w:val="7C3DBD3D"/>
    <w:multiLevelType w:val="hybridMultilevel"/>
    <w:lvl w:ilvl="0">
      <w:lvlJc w:val="left"/>
      <w:lvlText w:val="(%1)"/>
      <w:numFmt w:val="lowerLetter"/>
      <w:start w:val="4"/>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3">
    <w:nsid w:val="22221A70"/>
    <w:multiLevelType w:val="hybridMultilevel"/>
    <w:lvl w:ilvl="0">
      <w:lvlJc w:val="left"/>
      <w:lvlText w:val="%1"/>
      <w:numFmt w:val="lowerLetter"/>
      <w:start w:val="1"/>
    </w:lvl>
    <w:lvl w:ilvl="1">
      <w:lvlJc w:val="left"/>
      <w:lvlText w:val="(%2)"/>
      <w:numFmt w:val="lowerRoman"/>
      <w:start w:val="2"/>
    </w:lvl>
  </w:abstractNum>
  <w:abstractNum w:abstractNumId="24">
    <w:nsid w:val="4516DDE9"/>
    <w:multiLevelType w:val="hybridMultilevel"/>
    <w:lvl w:ilvl="0">
      <w:lvlJc w:val="left"/>
      <w:lvlText w:val="(%1)"/>
      <w:numFmt w:val="lowerLetter"/>
      <w:start w:val="3"/>
    </w:lvl>
    <w:lvl w:ilvl="1">
      <w:lvlJc w:val="left"/>
      <w:lvlText w:val="(%2)"/>
      <w:numFmt w:val="lowerRoman"/>
      <w:start w:val="1"/>
    </w:lvl>
  </w:abstractNum>
  <w:abstractNum w:abstractNumId="25">
    <w:nsid w:val="3006C83E"/>
    <w:multiLevelType w:val="hybridMultilevel"/>
    <w:lvl w:ilvl="0">
      <w:lvlJc w:val="left"/>
      <w:lvlText w:val="%1"/>
      <w:numFmt w:val="lowerLetter"/>
      <w:start w:val="1"/>
    </w:lvl>
    <w:lvl w:ilvl="1">
      <w:lvlJc w:val="left"/>
      <w:lvlText w:val="(%2)"/>
      <w:numFmt w:val="lowerLetter"/>
      <w:start w:val="5"/>
    </w:lvl>
  </w:abstractNum>
  <w:abstractNum w:abstractNumId="26">
    <w:nsid w:val="614FD4A1"/>
    <w:multiLevelType w:val="hybridMultilevel"/>
    <w:lvl w:ilvl="0">
      <w:lvlJc w:val="left"/>
      <w:lvlText w:val="(%1)"/>
      <w:numFmt w:val="lowerLetter"/>
      <w:start w:val="9"/>
    </w:lvl>
    <w:lvl w:ilvl="1">
      <w:lvlJc w:val="left"/>
      <w:lvlText w:val="%2"/>
      <w:numFmt w:val="lowerLetter"/>
      <w:start w:val="1"/>
    </w:lvl>
  </w:abstractNum>
  <w:abstractNum w:abstractNumId="27">
    <w:nsid w:val="419AC241"/>
    <w:multiLevelType w:val="hybridMultilevel"/>
    <w:lvl w:ilvl="0">
      <w:lvlJc w:val="left"/>
      <w:lvlText w:val="%1"/>
      <w:numFmt w:val="decimal"/>
      <w:start w:val="1"/>
    </w:lvl>
    <w:lvl w:ilvl="1">
      <w:lvlJc w:val="left"/>
      <w:lvlText w:val="(%2)"/>
      <w:numFmt w:val="lowerLetter"/>
      <w:start w:val="8"/>
    </w:lvl>
  </w:abstractNum>
  <w:abstractNum w:abstractNumId="28">
    <w:nsid w:val="5577F8E1"/>
    <w:multiLevelType w:val="hybridMultilevel"/>
    <w:lvl w:ilvl="0">
      <w:lvlJc w:val="left"/>
      <w:lvlText w:val="%1."/>
      <w:numFmt w:val="decimal"/>
      <w:start w:val="2"/>
    </w:lvl>
    <w:lvl w:ilvl="1">
      <w:lvlJc w:val="left"/>
      <w:lvlText w:val="%2"/>
      <w:numFmt w:val="lowerLetter"/>
      <w:start w:val="1"/>
    </w:lvl>
  </w:abstractNum>
  <w:abstractNum w:abstractNumId="29">
    <w:nsid w:val="440BADFC"/>
    <w:multiLevelType w:val="hybridMultilevel"/>
    <w:lvl w:ilvl="0">
      <w:lvlJc w:val="left"/>
      <w:lvlText w:val="%1."/>
      <w:numFmt w:val="decimal"/>
      <w:start w:val="3"/>
    </w:lvl>
  </w:abstractNum>
  <w:abstractNum w:abstractNumId="30">
    <w:nsid w:val="5072367"/>
    <w:multiLevelType w:val="hybridMultilevel"/>
    <w:lvl w:ilvl="0">
      <w:lvlJc w:val="left"/>
      <w:lvlText w:val="%1."/>
      <w:numFmt w:val="decimal"/>
      <w:start w:val="6"/>
    </w:lvl>
    <w:lvl w:ilvl="1">
      <w:lvlJc w:val="left"/>
      <w:lvlText w:val="(%2)"/>
      <w:numFmt w:val="lowerLetter"/>
      <w:start w:val="1"/>
    </w:lvl>
  </w:abstractNum>
  <w:abstractNum w:abstractNumId="31">
    <w:nsid w:val="3804823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2">
    <w:nsid w:val="77465F01"/>
    <w:multiLevelType w:val="hybridMultilevel"/>
    <w:lvl w:ilvl="0">
      <w:lvlJc w:val="left"/>
      <w:lvlText w:val="(%1)"/>
      <w:numFmt w:val="lowerLetter"/>
      <w:start w:val="3"/>
    </w:lvl>
  </w:abstractNum>
  <w:abstractNum w:abstractNumId="33">
    <w:nsid w:val="7724C67E"/>
    <w:multiLevelType w:val="hybridMultilevel"/>
    <w:lvl w:ilvl="0">
      <w:lvlJc w:val="left"/>
      <w:lvlText w:val="(%1)"/>
      <w:numFmt w:val="decimal"/>
      <w:start w:val="45"/>
    </w:lvl>
    <w:lvl w:ilvl="1">
      <w:lvlJc w:val="left"/>
      <w:lvlText w:val="(%2)"/>
      <w:numFmt w:val="lowerLetter"/>
      <w:start w:val="4"/>
    </w:lvl>
    <w:lvl w:ilvl="2">
      <w:lvlJc w:val="left"/>
      <w:lvlText w:val="(%3)"/>
      <w:numFmt w:val="lowerRoman"/>
      <w:start w:val="1"/>
    </w:lvl>
  </w:abstractNum>
  <w:abstractNum w:abstractNumId="34">
    <w:nsid w:val="5C482A97"/>
    <w:multiLevelType w:val="hybridMultilevel"/>
    <w:lvl w:ilvl="0">
      <w:lvlJc w:val="left"/>
      <w:lvlText w:val="(%1)"/>
      <w:numFmt w:val="decimal"/>
      <w:start w:val="20"/>
    </w:lvl>
    <w:lvl w:ilvl="1">
      <w:lvlJc w:val="left"/>
      <w:lvlText w:val="(%2)"/>
      <w:numFmt w:val="lowerLetter"/>
      <w:start w:val="6"/>
    </w:lvl>
    <w:lvl w:ilvl="2">
      <w:lvlJc w:val="left"/>
      <w:lvlText w:val="(%3)"/>
      <w:numFmt w:val="lowerRoman"/>
      <w:start w:val="1"/>
    </w:lvl>
  </w:abstractNum>
  <w:abstractNum w:abstractNumId="35">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6">
    <w:nsid w:val="5E884AD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7">
    <w:nsid w:val="51EAD36B"/>
    <w:multiLevelType w:val="hybridMultilevel"/>
    <w:lvl w:ilvl="0">
      <w:lvlJc w:val="left"/>
      <w:lvlText w:val="%1."/>
      <w:numFmt w:val="decimal"/>
      <w:start w:val="11"/>
    </w:lvl>
  </w:abstractNum>
  <w:abstractNum w:abstractNumId="38">
    <w:nsid w:val="2D517796"/>
    <w:multiLevelType w:val="hybridMultilevel"/>
    <w:lvl w:ilvl="0">
      <w:lvlJc w:val="left"/>
      <w:lvlText w:val="%1."/>
      <w:numFmt w:val="decimal"/>
      <w:start w:val="16"/>
    </w:lvl>
    <w:lvl w:ilvl="1">
      <w:lvlJc w:val="left"/>
      <w:lvlText w:val="(%2)"/>
      <w:numFmt w:val="lowerLetter"/>
      <w:start w:val="1"/>
    </w:lvl>
  </w:abstractNum>
  <w:abstractNum w:abstractNumId="39">
    <w:nsid w:val="580BD78F"/>
    <w:multiLevelType w:val="hybridMultilevel"/>
    <w:lvl w:ilvl="0">
      <w:lvlJc w:val="left"/>
      <w:lvlText w:val="%1."/>
      <w:numFmt w:val="decimal"/>
      <w:start w:val="21"/>
    </w:lvl>
  </w:abstractNum>
  <w:abstractNum w:abstractNumId="40">
    <w:nsid w:val="153EA438"/>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2026-05-26T15:43:33Z</dcterms:created>
  <dcterms:modified xsi:type="dcterms:W3CDTF">2026-05-26T15:43:33Z</dcterms:modified>
</cp:coreProperties>
</file>