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2" w:space="1" w:color="000000"/>
        </w:pBdr>
        <w:bidi w:val="0"/>
        <w:spacing w:before="0" w:after="0"/>
        <w:ind w:left="0" w:right="0" w:hanging="0"/>
        <w:jc w:val="center"/>
        <w:rPr>
          <w:bdr w:val="single" w:sz="8" w:space="2" w:color="000000"/>
        </w:rPr>
      </w:pPr>
      <w:bookmarkStart w:id="0" w:name="_ec10c207_3995_4711_b47b_dfacac80d970"/>
      <w:bookmarkStart w:id="1" w:name="nl-20260514x8k.htm"/>
      <w:bookmarkStart w:id="2" w:name="ksnl20260514x8k"/>
      <w:bookmarkEnd w:id="0"/>
      <w:bookmarkEnd w:id="1"/>
      <w:bookmarkEnd w:id="2"/>
      <w:r>
        <w:rPr>
          <w:bdr w:val="single" w:sz="8" w:space="2" w:color="000000"/>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lineRule="auto" w:line="144"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May 14,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smallCaps/>
          <w:sz w:val="36"/>
        </w:rPr>
      </w:pPr>
      <w:r>
        <w:rPr>
          <w:rFonts w:ascii="Times New Roman;Times;serif" w:hAnsi="Times New Roman;Times;serif"/>
          <w:b/>
          <w:i w:val="false"/>
          <w:smallCaps/>
          <w:sz w:val="36"/>
        </w:rPr>
        <w:t>NL Industries,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Nd6GbmcQw0ubvhkG9gFahQ_2_2"/>
      <w:bookmarkStart w:id="4" w:name="Tc_7QDMyOWtGUO9YdvUXIGA0A_2_1"/>
      <w:bookmarkStart w:id="5" w:name="Tc__302lacaWE6JKKf5yeGfHg_2_0"/>
      <w:bookmarkStart w:id="6" w:name="_858b5da4_1d65_44c5_82bd_f9c2068764f7"/>
      <w:bookmarkStart w:id="7" w:name="Tc_Nd6GbmcQw0ubvhkG9gFahQ_2_2"/>
      <w:bookmarkStart w:id="8" w:name="Tc_7QDMyOWtGUO9YdvUXIGA0A_2_1"/>
      <w:bookmarkStart w:id="9" w:name="Tc__302lacaWE6JKKf5yeGfHg_2_0"/>
      <w:bookmarkStart w:id="10" w:name="_858b5da4_1d65_44c5_82bd_f9c2068764f7"/>
      <w:bookmarkEnd w:id="7"/>
      <w:bookmarkEnd w:id="8"/>
      <w:bookmarkEnd w:id="9"/>
      <w:bookmarkEnd w:id="10"/>
    </w:p>
    <w:tbl>
      <w:tblPr>
        <w:tblW w:w="5088" w:type="dxa"/>
        <w:jc w:val="left"/>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New Jersey</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1-640</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13-5267260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YCS-AL4MzUmNUaYsN93Wxg_2_1"/>
      <w:bookmarkStart w:id="12" w:name="Tc_FKsRI01a_0aCuTf457jxSg_2_0"/>
      <w:bookmarkStart w:id="13" w:name="Tc_ZaYEM8KTBEqMTEZR-Bt1-g_1_0"/>
      <w:bookmarkStart w:id="14" w:name="_7a222b6a_4a52_4c9e_8e8c_a0ceaa03d16b"/>
      <w:bookmarkStart w:id="15" w:name="Tc_YCS-AL4MzUmNUaYsN93Wxg_2_1"/>
      <w:bookmarkStart w:id="16" w:name="Tc_FKsRI01a_0aCuTf457jxSg_2_0"/>
      <w:bookmarkStart w:id="17" w:name="Tc_ZaYEM8KTBEqMTEZR-Bt1-g_1_0"/>
      <w:bookmarkStart w:id="18" w:name="_7a222b6a_4a52_4c9e_8e8c_a0ceaa03d16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rPr/>
        <w:tc>
          <w:tcPr>
            <w:tcW w:w="469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483" w:type="dxa"/>
        <w:jc w:val="left"/>
        <w:tblInd w:w="0" w:type="dxa"/>
        <w:tblLayout w:type="fixed"/>
        <w:tblCellMar>
          <w:top w:w="0" w:type="dxa"/>
          <w:left w:w="0" w:type="dxa"/>
          <w:bottom w:w="0" w:type="dxa"/>
          <w:right w:w="0" w:type="dxa"/>
        </w:tblCellMar>
      </w:tblPr>
      <w:tblGrid>
        <w:gridCol w:w="221"/>
        <w:gridCol w:w="5011"/>
        <w:gridCol w:w="251"/>
      </w:tblGrid>
      <w:tr>
        <w:trPr/>
        <w:tc>
          <w:tcPr>
            <w:tcW w:w="221"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r>
      <w:tr>
        <w:trPr/>
        <w:tc>
          <w:tcPr>
            <w:tcW w:w="221" w:type="dxa"/>
            <w:tcBorders/>
            <w:vAlign w:val="center"/>
          </w:tcPr>
          <w:p>
            <w:pPr>
              <w:pStyle w:val="TableContents"/>
              <w:bidi w:val="0"/>
              <w:spacing w:before="0" w:after="0"/>
              <w:ind w:left="0" w:right="0" w:hanging="0"/>
              <w:jc w:val="left"/>
              <w:rPr/>
            </w:pPr>
            <w:r>
              <w:rPr/>
              <w:t xml:space="preserve">  </w:t>
            </w:r>
          </w:p>
        </w:tc>
        <w:tc>
          <w:tcPr>
            <w:tcW w:w="50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xml:space="preserve">  </w:t>
            </w:r>
          </w:p>
        </w:tc>
      </w:tr>
      <w:tr>
        <w:trPr/>
        <w:tc>
          <w:tcPr>
            <w:tcW w:w="221" w:type="dxa"/>
            <w:tcBorders/>
            <w:vAlign w:val="center"/>
          </w:tcPr>
          <w:p>
            <w:pPr>
              <w:pStyle w:val="TableContents"/>
              <w:bidi w:val="0"/>
              <w:spacing w:before="0" w:after="0"/>
              <w:ind w:left="0" w:right="0" w:hanging="0"/>
              <w:jc w:val="left"/>
              <w:rPr/>
            </w:pPr>
            <w:r>
              <w:rPr/>
              <w:t xml:space="preserve">  </w:t>
            </w:r>
          </w:p>
        </w:tc>
        <w:tc>
          <w:tcPr>
            <w:tcW w:w="5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25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l4eFP0TIw0eQLa2rBt6ung_7_1"/>
      <w:bookmarkStart w:id="20" w:name="Tc_2TgLbGE7BUOAh3vkVvm9hQ_5_1"/>
      <w:bookmarkStart w:id="21" w:name="Tc_qmaonVC3-U-AIMSr5lMSRQ_3_1"/>
      <w:bookmarkStart w:id="22" w:name="Tc_Rgcor8RhFkmBkpEZAzUzpw_1_1"/>
      <w:bookmarkStart w:id="23" w:name="_92d2b128_0f23_46e6_bfb9_6e704b0cddfe"/>
      <w:bookmarkStart w:id="24" w:name="Tc_l4eFP0TIw0eQLa2rBt6ung_7_1"/>
      <w:bookmarkStart w:id="25" w:name="Tc_2TgLbGE7BUOAh3vkVvm9hQ_5_1"/>
      <w:bookmarkStart w:id="26" w:name="Tc_qmaonVC3-U-AIMSr5lMSRQ_3_1"/>
      <w:bookmarkStart w:id="27" w:name="Tc_Rgcor8RhFkmBkpEZAzUzpw_1_1"/>
      <w:bookmarkStart w:id="28" w:name="_92d2b128_0f23_46e6_bfb9_6e704b0cddfe"/>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dXVJKkNErUa7f7-e9pxp5Q_1_4"/>
      <w:bookmarkStart w:id="30" w:name="Tc_IO0AKvZS60yRuunVWvMcaQ_1_2"/>
      <w:bookmarkStart w:id="31" w:name="Tc_abzqRidqV0SfVR9FQ6OhjQ_1_0"/>
      <w:bookmarkStart w:id="32" w:name="_a49c76f0_9025_4f83_843f_1aa546ea718a"/>
      <w:bookmarkStart w:id="33" w:name="Tc_dXVJKkNErUa7f7-e9pxp5Q_1_4"/>
      <w:bookmarkStart w:id="34" w:name="Tc_IO0AKvZS60yRuunVWvMcaQ_1_2"/>
      <w:bookmarkStart w:id="35" w:name="Tc_abzqRidqV0SfVR9FQ6OhjQ_1_0"/>
      <w:bookmarkStart w:id="36" w:name="_a49c76f0_9025_4f83_843f_1aa546ea718a"/>
      <w:bookmarkEnd w:id="33"/>
      <w:bookmarkEnd w:id="34"/>
      <w:bookmarkEnd w:id="35"/>
      <w:bookmarkEnd w:id="36"/>
    </w:p>
    <w:tbl>
      <w:tblPr>
        <w:tblW w:w="5990" w:type="dxa"/>
        <w:jc w:val="left"/>
        <w:tblInd w:w="0" w:type="dxa"/>
        <w:tblLayout w:type="fixed"/>
        <w:tblCellMar>
          <w:top w:w="0" w:type="dxa"/>
          <w:left w:w="0" w:type="dxa"/>
          <w:bottom w:w="0" w:type="dxa"/>
          <w:right w:w="0" w:type="dxa"/>
        </w:tblCellMar>
      </w:tblPr>
      <w:tblGrid>
        <w:gridCol w:w="1396"/>
        <w:gridCol w:w="226"/>
        <w:gridCol w:w="826"/>
        <w:gridCol w:w="226"/>
        <w:gridCol w:w="331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86460" cy="175260"/>
                      <wp:effectExtent l="0" t="0" r="0" b="0"/>
                      <wp:wrapNone/>
                      <wp:docPr id="1" name="Frame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3510" cy="175260"/>
                      <wp:effectExtent l="0" t="0" r="0" b="0"/>
                      <wp:wrapNone/>
                      <wp:docPr id="2"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24510" cy="350520"/>
                      <wp:effectExtent l="0" t="0" r="0" b="0"/>
                      <wp:wrapNone/>
                      <wp:docPr id="3" name="Frame3"/>
                      <a:graphic xmlns:a="http://schemas.openxmlformats.org/drawingml/2006/main">
                        <a:graphicData uri="http://schemas.microsoft.com/office/word/2010/wordprocessingShape">
                          <wps:wsp>
                            <wps:cNvSpPr txBox="1"/>
                            <wps:spPr>
                              <a:xfrm>
                                <a:off x="0" y="0"/>
                                <a:ext cx="524510"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05660" cy="175260"/>
                      <wp:effectExtent l="0" t="0" r="0" b="0"/>
                      <wp:wrapNone/>
                      <wp:docPr id="5" name="Frame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2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NL</w:t>
            </w:r>
          </w:p>
        </w:tc>
        <w:tc>
          <w:tcPr>
            <w:tcW w:w="226"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New York Stock Exchange</w:t>
            </w:r>
          </w:p>
        </w:tc>
      </w:tr>
    </w:tbl>
    <w:p>
      <w:pPr>
        <w:pStyle w:val="TextBody"/>
        <w:bidi w:val="0"/>
        <w:spacing w:lineRule="auto" w:line="144"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pBdr>
          <w:bottom w:val="single" w:sz="12" w:space="1" w:color="000000"/>
        </w:pBdr>
        <w:bidi w:val="0"/>
        <w:spacing w:before="0" w:after="0"/>
        <w:ind w:left="0" w:right="0" w:hanging="0"/>
        <w:jc w:val="left"/>
        <w:rPr>
          <w:rFonts w:ascii="Times New Roman;Times;serif" w:hAnsi="Times New Roman;Times;serif"/>
          <w:sz w:val="20"/>
          <w:bdr w:val="single" w:sz="8" w:space="2" w:color="000000"/>
        </w:rPr>
      </w:pPr>
      <w:r>
        <w:rPr>
          <w:rFonts w:ascii="Times New Roman;Times;serif" w:hAnsi="Times New Roman;Times;serif"/>
          <w:sz w:val="20"/>
          <w:bdr w:val="single" w:sz="8" w:space="2" w:color="00000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7" w:name="_fa4a43db_1e97_45f0_b62a_53d1789ee61a"/>
      <w:bookmarkStart w:id="38" w:name="_fa4a43db_1e97_45f0_b62a_53d1789ee61a"/>
      <w:bookmarkEnd w:id="38"/>
    </w:p>
    <w:tbl>
      <w:tblPr>
        <w:tblW w:w="5339" w:type="dxa"/>
        <w:jc w:val="left"/>
        <w:tblInd w:w="0" w:type="dxa"/>
        <w:tblLayout w:type="fixed"/>
        <w:tblCellMar>
          <w:top w:w="0" w:type="dxa"/>
          <w:left w:w="0" w:type="dxa"/>
          <w:bottom w:w="0" w:type="dxa"/>
          <w:right w:w="0" w:type="dxa"/>
        </w:tblCellMar>
      </w:tblPr>
      <w:tblGrid>
        <w:gridCol w:w="898"/>
        <w:gridCol w:w="444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5.07</w:t>
            </w:r>
          </w:p>
        </w:tc>
        <w:tc>
          <w:tcPr>
            <w:tcW w:w="444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Submission of Matters to a Vote of Security Holders.</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NL Industries, Inc., a New Jersey corporation (“NL” or the “registrant”) held its 2026 annual meeting of shareholders on May 14, 2026. At the 2026 annual meeting, the registrant’s shareholders voted on the five proposals described in detail in the registrant’s definitive proxy statement on Schedule 14A filed with the U.S. Securities and Exchange Commission on March 25, 2026. Shareholders present at the 2026 annual meeting, either in person or by proxy, represented 95.2% of the 48,862,734 shares eligible to vote at the meeting.</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mallCaps/>
          <w:spacing w:val="-3"/>
          <w:sz w:val="20"/>
        </w:rPr>
        <w:t>Proposal 1: Election of Director</w:t>
      </w:r>
      <w:r>
        <w:rPr>
          <w:rFonts w:ascii="Times New Roman;Times;serif" w:hAnsi="Times New Roman;Times;serif"/>
          <w:i/>
          <w:smallCaps/>
          <w:spacing w:val="-3"/>
          <w:sz w:val="20"/>
        </w:rPr>
        <w:t>s</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 xml:space="preserve">The registrant’s shareholders elected Ms. Loretta J. Feehan, Mr. John E. Harper, Mr. Kevin B. Kramer, Ms. Meredith W. Mendes, Mr. Cecil H. Moore, Jr., Ms. Courtney J. Riley, Mr. Michael S. Simmons and Dr. R. Gerald Turner as directors. Each director nominee received votes “For” his or her election from at least 89.1% of the shares eligible to vote at the annual meeting. </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mallCaps/>
          <w:spacing w:val="-3"/>
          <w:sz w:val="20"/>
        </w:rPr>
        <w:t xml:space="preserve">Proposal 2: </w:t>
      </w:r>
      <w:r>
        <w:rPr>
          <w:rFonts w:ascii="Times New Roman;Times;serif" w:hAnsi="Times New Roman;Times;serif"/>
          <w:smallCaps/>
          <w:sz w:val="20"/>
        </w:rPr>
        <w:t>Say-on-Pay, Nonbinding Advisory Vote Approving Executive Compensation</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registrant’s shareholders adopted </w:t>
      </w:r>
      <w:r>
        <w:rPr>
          <w:rFonts w:ascii="Times New Roman;Times;serif" w:hAnsi="Times New Roman;Times;serif"/>
          <w:sz w:val="20"/>
        </w:rPr>
        <w:t xml:space="preserve">a resolution, on a nonbinding advisory basis, approving the compensation of the registrant’s named executive officers as described in the registrant’s 2026 proxy statement. The resolution received the approval from 89.1% of the shares eligible to vote at the annual meeting.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PROPOSAL 3: REINCORPORATION PROPOSAL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registrant’s shareholders approved the Agreement and Plan of Merger (the “Plan of Merger”) between NL and its wholly owned Delaware subsidiary, NLI Holdings, Inc. (“NL-Delaware”), pursuant to which NL will merge with and into NL-Delaware for the purpose of changing NL’s state of domicile from New Jersey to Delaware, including the approval of the Certificate of Incorporation of NL-Delaware and the change of NL’s name to NLI Holdings, Inc. (the “Reincorporation Proposal”). The Reincorporation Proposal received the approval from 95.1% of the shares eligible to vote at the annual meeting. Votes were cast on the proposal as follows:</w:t>
      </w:r>
    </w:p>
    <w:p>
      <w:pPr>
        <w:pStyle w:val="TextBody"/>
        <w:bidi w:val="0"/>
        <w:spacing w:before="0" w:after="0"/>
        <w:ind w:left="0" w:right="0" w:firstLine="720"/>
        <w:jc w:val="left"/>
        <w:rPr/>
      </w:pPr>
      <w:r>
        <w:rPr/>
        <w:t>​</w:t>
      </w:r>
    </w:p>
    <w:tbl>
      <w:tblPr>
        <w:tblW w:w="4339" w:type="dxa"/>
        <w:jc w:val="left"/>
        <w:tblInd w:w="0" w:type="dxa"/>
        <w:tblLayout w:type="fixed"/>
        <w:tblCellMar>
          <w:top w:w="0" w:type="dxa"/>
          <w:left w:w="0" w:type="dxa"/>
          <w:bottom w:w="0" w:type="dxa"/>
          <w:right w:w="0" w:type="dxa"/>
        </w:tblCellMar>
      </w:tblPr>
      <w:tblGrid>
        <w:gridCol w:w="1051"/>
        <w:gridCol w:w="736"/>
        <w:gridCol w:w="931"/>
        <w:gridCol w:w="162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t>
            </w:r>
          </w:p>
        </w:tc>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Against</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Abstained</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 Non-Votes</w:t>
            </w:r>
          </w:p>
        </w:tc>
      </w:tr>
      <w:tr>
        <w:trPr/>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46,457,955</w:t>
            </w:r>
          </w:p>
        </w:tc>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36,434</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9,639</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Plan of Merger, the approval of the holders of two-thirds of the voting stock of NL not beneficially owned by NL’s controlling stockholder, Valhi, Inc. (“Valhi”), is also a condition to consummation of the merger and reincorporation contemplated by the Reincorporation Proposal. The Reincorporation Proposal received approval from 71.6% of the shares eligible to vote at the annual meeting that are not beneficially owned by Valhi.</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PROPOSAL 4: OPT OUT PROPOSAL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registrant’s shareholders approved, in connection with the Reincorporation Proposal, the inclusion in the Delaware Certificate of Incorporation of NL-Delaware of a provision opting out of Section 203 of the Delaware General Corporation Law (the “Opt Out Proposal”). The Reincorporation Proposal received the approval from 95.1% of the shares eligible to vote at the annual meeting. Votes were cast on the proposal as follows:</w:t>
      </w:r>
    </w:p>
    <w:p>
      <w:pPr>
        <w:pStyle w:val="TextBody"/>
        <w:bidi w:val="0"/>
        <w:spacing w:before="0" w:after="0"/>
        <w:ind w:left="0" w:right="0" w:firstLine="720"/>
        <w:jc w:val="left"/>
        <w:rPr/>
      </w:pPr>
      <w:r>
        <w:rPr/>
        <w:t>​</w:t>
      </w:r>
    </w:p>
    <w:tbl>
      <w:tblPr>
        <w:tblW w:w="4339" w:type="dxa"/>
        <w:jc w:val="left"/>
        <w:tblInd w:w="0" w:type="dxa"/>
        <w:tblLayout w:type="fixed"/>
        <w:tblCellMar>
          <w:top w:w="0" w:type="dxa"/>
          <w:left w:w="0" w:type="dxa"/>
          <w:bottom w:w="0" w:type="dxa"/>
          <w:right w:w="0" w:type="dxa"/>
        </w:tblCellMar>
      </w:tblPr>
      <w:tblGrid>
        <w:gridCol w:w="1051"/>
        <w:gridCol w:w="736"/>
        <w:gridCol w:w="931"/>
        <w:gridCol w:w="162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t>
            </w:r>
          </w:p>
        </w:tc>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Against</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Abstained</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 Non-Votes</w:t>
            </w:r>
          </w:p>
        </w:tc>
      </w:tr>
      <w:tr>
        <w:trPr/>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46,446,223</w:t>
            </w:r>
          </w:p>
        </w:tc>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43,704</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14,101</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PROPOSAL 5: ADJOURNMENT PROPOSAL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registrant’s shareholders approved one or more adjournments of the annual meeting to a later date or dates, if necessary, to permit further solicitations of proxies in the event there are not sufficient votes in favor of the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Reincorporation Proposal (the “Adjournment Proposal”). The Adjournment Proposal received the approval from 94.8% of the shares eligible to vote at the annual meeting. Votes were cast on the proposal as follows:</w:t>
      </w:r>
    </w:p>
    <w:p>
      <w:pPr>
        <w:pStyle w:val="TextBody"/>
        <w:bidi w:val="0"/>
        <w:spacing w:before="0" w:after="0"/>
        <w:ind w:left="0" w:right="0" w:firstLine="720"/>
        <w:jc w:val="left"/>
        <w:rPr/>
      </w:pPr>
      <w:r>
        <w:rPr/>
        <w:t>​</w:t>
      </w:r>
    </w:p>
    <w:tbl>
      <w:tblPr>
        <w:tblW w:w="4384" w:type="dxa"/>
        <w:jc w:val="left"/>
        <w:tblInd w:w="0" w:type="dxa"/>
        <w:tblLayout w:type="fixed"/>
        <w:tblCellMar>
          <w:top w:w="0" w:type="dxa"/>
          <w:left w:w="0" w:type="dxa"/>
          <w:bottom w:w="0" w:type="dxa"/>
          <w:right w:w="0" w:type="dxa"/>
        </w:tblCellMar>
      </w:tblPr>
      <w:tblGrid>
        <w:gridCol w:w="1051"/>
        <w:gridCol w:w="781"/>
        <w:gridCol w:w="931"/>
        <w:gridCol w:w="162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t>
            </w:r>
          </w:p>
        </w:tc>
        <w:tc>
          <w:tcPr>
            <w:tcW w:w="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Against</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Abstained</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 Non-Votes</w:t>
            </w:r>
          </w:p>
        </w:tc>
      </w:tr>
      <w:tr>
        <w:trPr/>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46,327,847</w:t>
            </w:r>
          </w:p>
        </w:tc>
        <w:tc>
          <w:tcPr>
            <w:tcW w:w="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166,856</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9,225</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9" w:name="_ff22a521_d50f_44ca_9af7_94f0a9879702"/>
      <w:bookmarkStart w:id="40" w:name="_ff22a521_d50f_44ca_9af7_94f0a9879702"/>
      <w:bookmarkEnd w:id="4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hereby furnishes the information set forth in its press release issued on May 14, 2026,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41" w:name="_773d07dc_0d42_4786_98fe_997e41d00eda"/>
      <w:bookmarkStart w:id="42" w:name="_773d07dc_0d42_4786_98fe_997e41d00eda"/>
      <w:bookmarkEnd w:id="4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7864" w:type="dxa"/>
        <w:jc w:val="left"/>
        <w:tblInd w:w="0" w:type="dxa"/>
        <w:tblLayout w:type="fixed"/>
        <w:tblCellMar>
          <w:top w:w="0" w:type="dxa"/>
          <w:left w:w="0" w:type="dxa"/>
          <w:bottom w:w="0" w:type="dxa"/>
          <w:right w:w="0" w:type="dxa"/>
        </w:tblCellMar>
      </w:tblPr>
      <w:tblGrid>
        <w:gridCol w:w="343"/>
        <w:gridCol w:w="811"/>
        <w:gridCol w:w="109"/>
        <w:gridCol w:w="6601"/>
      </w:tblGrid>
      <w:tr>
        <w:trPr/>
        <w:tc>
          <w:tcPr>
            <w:tcW w:w="343" w:type="dxa"/>
            <w:tcBorders/>
            <w:vAlign w:val="center"/>
          </w:tcPr>
          <w:p>
            <w:pPr>
              <w:pStyle w:val="TableContents"/>
              <w:bidi w:val="0"/>
              <w:spacing w:lineRule="auto" w:line="328" w:before="0" w:after="0"/>
              <w:ind w:left="0" w:right="0" w:hanging="0"/>
              <w:jc w:val="left"/>
              <w:rPr/>
            </w:pPr>
            <w:r>
              <w:rPr/>
              <w:t>​</w:t>
            </w:r>
          </w:p>
        </w:tc>
        <w:tc>
          <w:tcPr>
            <w:tcW w:w="811"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6601" w:type="dxa"/>
            <w:tcBorders/>
            <w:vAlign w:val="center"/>
          </w:tcPr>
          <w:p>
            <w:pPr>
              <w:pStyle w:val="TableContents"/>
              <w:bidi w:val="0"/>
              <w:spacing w:lineRule="auto" w:line="328" w:before="0" w:after="0"/>
              <w:ind w:left="0" w:right="0" w:hanging="0"/>
              <w:jc w:val="left"/>
              <w:rPr/>
            </w:pPr>
            <w:r>
              <w:rPr/>
              <w:t>​</w:t>
            </w:r>
          </w:p>
        </w:tc>
      </w:tr>
      <w:tr>
        <w:trPr/>
        <w:tc>
          <w:tcPr>
            <w:tcW w:w="343"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11"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lineRule="auto" w:line="328" w:before="0" w:after="0"/>
              <w:ind w:left="0" w:right="0" w:hanging="0"/>
              <w:jc w:val="left"/>
              <w:rPr>
                <w:spacing w:val="-3"/>
              </w:rPr>
            </w:pPr>
            <w:r>
              <w:rPr>
                <w:spacing w:val="-3"/>
              </w:rPr>
              <w:t>​</w:t>
            </w:r>
          </w:p>
        </w:tc>
        <w:tc>
          <w:tcPr>
            <w:tcW w:w="6601"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343" w:type="dxa"/>
            <w:tcBorders/>
            <w:vAlign w:val="center"/>
          </w:tcPr>
          <w:p>
            <w:pPr>
              <w:pStyle w:val="TableContents"/>
              <w:bidi w:val="0"/>
              <w:spacing w:lineRule="auto" w:line="328" w:before="0" w:after="0"/>
              <w:ind w:left="0" w:right="0" w:hanging="0"/>
              <w:jc w:val="left"/>
              <w:rPr>
                <w:spacing w:val="-3"/>
              </w:rPr>
            </w:pPr>
            <w:r>
              <w:rPr>
                <w:spacing w:val="-3"/>
              </w:rPr>
              <w:t>​</w:t>
            </w:r>
          </w:p>
        </w:tc>
        <w:tc>
          <w:tcPr>
            <w:tcW w:w="811" w:type="dxa"/>
            <w:tcBorders/>
            <w:vAlign w:val="center"/>
          </w:tcPr>
          <w:p>
            <w:pPr>
              <w:pStyle w:val="TableContents"/>
              <w:bidi w:val="0"/>
              <w:spacing w:lineRule="auto" w:line="328" w:before="0" w:after="0"/>
              <w:ind w:left="0" w:right="0" w:hanging="0"/>
              <w:jc w:val="left"/>
              <w:rPr>
                <w:spacing w:val="-3"/>
              </w:rPr>
            </w:pPr>
            <w:r>
              <w:rPr>
                <w:spacing w:val="-3"/>
              </w:rPr>
              <w:t>​</w:t>
            </w:r>
          </w:p>
        </w:tc>
        <w:tc>
          <w:tcPr>
            <w:tcW w:w="109" w:type="dxa"/>
            <w:tcBorders/>
            <w:vAlign w:val="center"/>
          </w:tcPr>
          <w:p>
            <w:pPr>
              <w:pStyle w:val="TableContents"/>
              <w:bidi w:val="0"/>
              <w:spacing w:lineRule="auto" w:line="328" w:before="0" w:after="0"/>
              <w:ind w:left="0" w:right="0" w:hanging="0"/>
              <w:jc w:val="left"/>
              <w:rPr>
                <w:spacing w:val="-3"/>
              </w:rPr>
            </w:pPr>
            <w:r>
              <w:rPr>
                <w:spacing w:val="-3"/>
              </w:rPr>
              <w:t>​</w:t>
            </w:r>
          </w:p>
        </w:tc>
        <w:tc>
          <w:tcPr>
            <w:tcW w:w="6601"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343" w:type="dxa"/>
            <w:tcBorders/>
            <w:vAlign w:val="center"/>
          </w:tcPr>
          <w:p>
            <w:pPr>
              <w:pStyle w:val="TableContents"/>
              <w:bidi w:val="0"/>
              <w:spacing w:lineRule="auto" w:line="328" w:before="0" w:after="0"/>
              <w:ind w:left="0" w:right="0" w:hanging="0"/>
              <w:jc w:val="center"/>
              <w:rPr>
                <w:spacing w:val="-3"/>
              </w:rPr>
            </w:pPr>
            <w:r>
              <w:rPr>
                <w:spacing w:val="-3"/>
              </w:rPr>
              <w:t>​</w:t>
            </w:r>
          </w:p>
        </w:tc>
        <w:tc>
          <w:tcPr>
            <w:tcW w:w="811" w:type="dxa"/>
            <w:tcBorders/>
            <w:vAlign w:val="center"/>
          </w:tcPr>
          <w:p>
            <w:pPr>
              <w:pStyle w:val="TableContents"/>
              <w:pBdr>
                <w:bottom w:val="single" w:sz="2" w:space="1" w:color="000000"/>
              </w:pBdr>
              <w:bidi w:val="0"/>
              <w:spacing w:lineRule="auto" w:line="328"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lineRule="auto" w:line="328" w:before="0" w:after="0"/>
              <w:ind w:left="0" w:right="0" w:hanging="0"/>
              <w:jc w:val="center"/>
              <w:rPr>
                <w:spacing w:val="-3"/>
              </w:rPr>
            </w:pPr>
            <w:r>
              <w:rPr>
                <w:spacing w:val="-3"/>
              </w:rPr>
              <w:t>​</w:t>
            </w:r>
          </w:p>
        </w:tc>
        <w:tc>
          <w:tcPr>
            <w:tcW w:w="6601" w:type="dxa"/>
            <w:tcBorders/>
            <w:vAlign w:val="center"/>
          </w:tcPr>
          <w:p>
            <w:pPr>
              <w:pStyle w:val="TableContents"/>
              <w:pBdr>
                <w:bottom w:val="single" w:sz="2" w:space="1" w:color="000000"/>
              </w:pBdr>
              <w:bidi w:val="0"/>
              <w:spacing w:lineRule="auto" w:line="328"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43" w:type="dxa"/>
            <w:tcBorders/>
            <w:vAlign w:val="center"/>
          </w:tcPr>
          <w:p>
            <w:pPr>
              <w:pStyle w:val="TableContents"/>
              <w:bidi w:val="0"/>
              <w:spacing w:lineRule="auto" w:line="328" w:before="0" w:after="0"/>
              <w:ind w:left="0" w:right="0" w:hanging="0"/>
              <w:jc w:val="left"/>
              <w:rPr>
                <w:spacing w:val="-3"/>
              </w:rPr>
            </w:pPr>
            <w:r>
              <w:rPr>
                <w:spacing w:val="-3"/>
              </w:rPr>
              <w:t>​</w:t>
            </w:r>
          </w:p>
        </w:tc>
        <w:tc>
          <w:tcPr>
            <w:tcW w:w="811" w:type="dxa"/>
            <w:tcBorders/>
            <w:vAlign w:val="center"/>
          </w:tcPr>
          <w:p>
            <w:pPr>
              <w:pStyle w:val="TableContents"/>
              <w:bidi w:val="0"/>
              <w:spacing w:lineRule="auto" w:line="328" w:before="0" w:after="0"/>
              <w:ind w:left="0" w:right="0" w:hanging="0"/>
              <w:jc w:val="left"/>
              <w:rPr>
                <w:spacing w:val="-3"/>
              </w:rPr>
            </w:pPr>
            <w:r>
              <w:rPr>
                <w:spacing w:val="-3"/>
              </w:rPr>
              <w:t>​</w:t>
            </w:r>
          </w:p>
        </w:tc>
        <w:tc>
          <w:tcPr>
            <w:tcW w:w="109" w:type="dxa"/>
            <w:tcBorders/>
            <w:vAlign w:val="center"/>
          </w:tcPr>
          <w:p>
            <w:pPr>
              <w:pStyle w:val="TableContents"/>
              <w:bidi w:val="0"/>
              <w:spacing w:lineRule="auto" w:line="328" w:before="0" w:after="0"/>
              <w:ind w:left="0" w:right="0" w:hanging="0"/>
              <w:jc w:val="left"/>
              <w:rPr>
                <w:spacing w:val="-3"/>
              </w:rPr>
            </w:pPr>
            <w:r>
              <w:rPr>
                <w:spacing w:val="-3"/>
              </w:rPr>
              <w:t>​</w:t>
            </w:r>
          </w:p>
        </w:tc>
        <w:tc>
          <w:tcPr>
            <w:tcW w:w="6601"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343" w:type="dxa"/>
            <w:tcBorders/>
            <w:vAlign w:val="center"/>
          </w:tcPr>
          <w:p>
            <w:pPr>
              <w:pStyle w:val="TableContents"/>
              <w:bidi w:val="0"/>
              <w:spacing w:lineRule="auto" w:line="328" w:before="0" w:after="0"/>
              <w:ind w:left="0" w:right="0" w:hanging="0"/>
              <w:jc w:val="left"/>
              <w:rPr>
                <w:spacing w:val="-3"/>
              </w:rPr>
            </w:pPr>
            <w:r>
              <w:rPr>
                <w:spacing w:val="-3"/>
              </w:rPr>
              <w:t>​</w:t>
            </w:r>
          </w:p>
        </w:tc>
        <w:tc>
          <w:tcPr>
            <w:tcW w:w="811"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lineRule="auto" w:line="328" w:before="0" w:after="0"/>
              <w:ind w:left="0" w:right="0" w:hanging="0"/>
              <w:jc w:val="left"/>
              <w:rPr>
                <w:spacing w:val="-3"/>
              </w:rPr>
            </w:pPr>
            <w:r>
              <w:rPr>
                <w:spacing w:val="-3"/>
              </w:rPr>
              <w:t>​</w:t>
            </w:r>
          </w:p>
        </w:tc>
        <w:tc>
          <w:tcPr>
            <w:tcW w:w="6601" w:type="dxa"/>
            <w:tcBorders/>
            <w:vAlign w:val="center"/>
          </w:tcPr>
          <w:p>
            <w:pPr>
              <w:pStyle w:val="TableContents"/>
              <w:bidi w:val="0"/>
              <w:spacing w:lineRule="auto" w:line="328" w:before="0" w:after="0"/>
              <w:ind w:left="0" w:right="0" w:hanging="0"/>
              <w:jc w:val="left"/>
              <w:rPr/>
            </w:pPr>
            <w:hyperlink w:anchor="nl-20260514xex99d1.htm">
              <w:r>
                <w:rPr>
                  <w:rStyle w:val="InternetLink"/>
                  <w:rFonts w:ascii="Times New Roman;Times;serif" w:hAnsi="Times New Roman;Times;serif"/>
                  <w:b w:val="false"/>
                  <w:i w:val="false"/>
                  <w:caps w:val="false"/>
                  <w:smallCaps w:val="false"/>
                  <w:spacing w:val="-3"/>
                  <w:sz w:val="20"/>
                </w:rPr>
                <w:t>Press release dated May 14, 2026 issued by the registrant.</w:t>
              </w:r>
            </w:hyperlink>
          </w:p>
        </w:tc>
      </w:tr>
      <w:tr>
        <w:trPr/>
        <w:tc>
          <w:tcPr>
            <w:tcW w:w="343" w:type="dxa"/>
            <w:tcBorders/>
            <w:vAlign w:val="center"/>
          </w:tcPr>
          <w:p>
            <w:pPr>
              <w:pStyle w:val="TableContents"/>
              <w:bidi w:val="0"/>
              <w:spacing w:lineRule="auto" w:line="328" w:before="0" w:after="0"/>
              <w:ind w:left="0" w:right="0" w:hanging="0"/>
              <w:jc w:val="left"/>
              <w:rPr>
                <w:spacing w:val="-3"/>
              </w:rPr>
            </w:pPr>
            <w:r>
              <w:rPr>
                <w:spacing w:val="-3"/>
              </w:rPr>
              <w:t>​</w:t>
            </w:r>
          </w:p>
        </w:tc>
        <w:tc>
          <w:tcPr>
            <w:tcW w:w="811" w:type="dxa"/>
            <w:tcBorders/>
            <w:vAlign w:val="center"/>
          </w:tcPr>
          <w:p>
            <w:pPr>
              <w:pStyle w:val="TableContents"/>
              <w:bidi w:val="0"/>
              <w:spacing w:lineRule="auto" w:line="328" w:before="0" w:after="0"/>
              <w:ind w:left="0" w:right="0" w:hanging="0"/>
              <w:jc w:val="left"/>
              <w:rPr>
                <w:spacing w:val="-3"/>
              </w:rPr>
            </w:pPr>
            <w:r>
              <w:rPr>
                <w:spacing w:val="-3"/>
              </w:rPr>
              <w:t>​</w:t>
            </w:r>
          </w:p>
        </w:tc>
        <w:tc>
          <w:tcPr>
            <w:tcW w:w="109" w:type="dxa"/>
            <w:tcBorders/>
            <w:vAlign w:val="center"/>
          </w:tcPr>
          <w:p>
            <w:pPr>
              <w:pStyle w:val="TableContents"/>
              <w:bidi w:val="0"/>
              <w:spacing w:lineRule="auto" w:line="328" w:before="0" w:after="0"/>
              <w:ind w:left="0" w:right="0" w:hanging="0"/>
              <w:jc w:val="left"/>
              <w:rPr>
                <w:spacing w:val="-3"/>
              </w:rPr>
            </w:pPr>
            <w:r>
              <w:rPr>
                <w:spacing w:val="-3"/>
              </w:rPr>
              <w:t>​</w:t>
            </w:r>
          </w:p>
        </w:tc>
        <w:tc>
          <w:tcPr>
            <w:tcW w:w="6601"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343" w:type="dxa"/>
            <w:tcBorders/>
            <w:vAlign w:val="center"/>
          </w:tcPr>
          <w:p>
            <w:pPr>
              <w:pStyle w:val="TableContents"/>
              <w:bidi w:val="0"/>
              <w:spacing w:lineRule="auto" w:line="328" w:before="0" w:after="0"/>
              <w:ind w:left="0" w:right="0" w:hanging="0"/>
              <w:jc w:val="left"/>
              <w:rPr>
                <w:spacing w:val="-3"/>
              </w:rPr>
            </w:pPr>
            <w:r>
              <w:rPr>
                <w:spacing w:val="-3"/>
              </w:rPr>
              <w:t>​</w:t>
            </w:r>
          </w:p>
        </w:tc>
        <w:tc>
          <w:tcPr>
            <w:tcW w:w="811"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lineRule="auto" w:line="328" w:before="0" w:after="0"/>
              <w:ind w:left="0" w:right="0" w:hanging="0"/>
              <w:jc w:val="left"/>
              <w:rPr>
                <w:spacing w:val="-3"/>
              </w:rPr>
            </w:pPr>
            <w:r>
              <w:rPr>
                <w:spacing w:val="-3"/>
              </w:rPr>
              <w:t>​</w:t>
            </w:r>
          </w:p>
        </w:tc>
        <w:tc>
          <w:tcPr>
            <w:tcW w:w="660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3"/>
          <w:sz w:val="20"/>
        </w:rPr>
      </w:pPr>
      <w:bookmarkStart w:id="43" w:name="_d0f1483f_615c_4cd0_9cd7_f4f0b8136304"/>
      <w:bookmarkEnd w:id="43"/>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5723" w:type="dxa"/>
        <w:jc w:val="left"/>
        <w:tblInd w:w="0" w:type="dxa"/>
        <w:tblLayout w:type="fixed"/>
        <w:tblCellMar>
          <w:top w:w="0" w:type="dxa"/>
          <w:left w:w="0" w:type="dxa"/>
          <w:bottom w:w="0" w:type="dxa"/>
          <w:right w:w="0" w:type="dxa"/>
        </w:tblCellMar>
      </w:tblPr>
      <w:tblGrid>
        <w:gridCol w:w="1708"/>
        <w:gridCol w:w="4015"/>
      </w:tblGrid>
      <w:tr>
        <w:trPr/>
        <w:tc>
          <w:tcPr>
            <w:tcW w:w="1708" w:type="dxa"/>
            <w:tcBorders/>
            <w:vAlign w:val="center"/>
          </w:tcPr>
          <w:p>
            <w:pPr>
              <w:pStyle w:val="TableContents"/>
              <w:bidi w:val="0"/>
              <w:spacing w:lineRule="auto" w:line="328" w:before="0" w:after="0"/>
              <w:ind w:left="0" w:right="0" w:hanging="0"/>
              <w:jc w:val="left"/>
              <w:rPr/>
            </w:pPr>
            <w:r>
              <w:rPr/>
              <w:t>​</w:t>
            </w:r>
          </w:p>
        </w:tc>
        <w:tc>
          <w:tcPr>
            <w:tcW w:w="4015" w:type="dxa"/>
            <w:tcBorders/>
            <w:vAlign w:val="center"/>
          </w:tcPr>
          <w:p>
            <w:pPr>
              <w:pStyle w:val="TableContents"/>
              <w:bidi w:val="0"/>
              <w:spacing w:lineRule="auto" w:line="328" w:before="0" w:after="0"/>
              <w:ind w:left="0" w:right="0" w:hanging="0"/>
              <w:jc w:val="left"/>
              <w:rPr/>
            </w:pPr>
            <w:r>
              <w:rPr/>
              <w:t>​</w:t>
            </w:r>
          </w:p>
        </w:tc>
      </w:tr>
      <w:tr>
        <w:trPr/>
        <w:tc>
          <w:tcPr>
            <w:tcW w:w="1708" w:type="dxa"/>
            <w:tcBorders/>
            <w:vAlign w:val="center"/>
          </w:tcPr>
          <w:p>
            <w:pPr>
              <w:pStyle w:val="TableContents"/>
              <w:bidi w:val="0"/>
              <w:spacing w:lineRule="auto" w:line="328" w:before="0" w:after="0"/>
              <w:ind w:left="0" w:right="0" w:hanging="0"/>
              <w:jc w:val="left"/>
              <w:rPr>
                <w:smallCaps/>
                <w:spacing w:val="-3"/>
              </w:rPr>
            </w:pPr>
            <w:r>
              <w:rPr>
                <w:smallCaps/>
                <w:spacing w:val="-3"/>
              </w:rPr>
              <w:t>​</w:t>
            </w:r>
          </w:p>
        </w:tc>
        <w:tc>
          <w:tcPr>
            <w:tcW w:w="4015" w:type="dxa"/>
            <w:tcBorders/>
            <w:vAlign w:val="center"/>
          </w:tcPr>
          <w:p>
            <w:pPr>
              <w:pStyle w:val="TableContents"/>
              <w:bidi w:val="0"/>
              <w:spacing w:lineRule="auto" w:line="328"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NL INDUSTRIES, INC.</w:t>
            </w:r>
          </w:p>
        </w:tc>
      </w:tr>
      <w:tr>
        <w:trPr/>
        <w:tc>
          <w:tcPr>
            <w:tcW w:w="1708" w:type="dxa"/>
            <w:tcBorders/>
            <w:vAlign w:val="center"/>
          </w:tcPr>
          <w:p>
            <w:pPr>
              <w:pStyle w:val="TableContents"/>
              <w:bidi w:val="0"/>
              <w:spacing w:lineRule="auto" w:line="328" w:before="0" w:after="0"/>
              <w:ind w:left="0" w:right="0" w:hanging="0"/>
              <w:jc w:val="left"/>
              <w:rPr>
                <w:spacing w:val="-3"/>
              </w:rPr>
            </w:pPr>
            <w:r>
              <w:rPr>
                <w:spacing w:val="-3"/>
              </w:rPr>
              <w:t>​</w:t>
            </w:r>
          </w:p>
        </w:tc>
        <w:tc>
          <w:tcPr>
            <w:tcW w:w="4015"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rPr/>
        <w:tc>
          <w:tcPr>
            <w:tcW w:w="1708" w:type="dxa"/>
            <w:tcBorders/>
            <w:vAlign w:val="center"/>
          </w:tcPr>
          <w:p>
            <w:pPr>
              <w:pStyle w:val="TableContents"/>
              <w:bidi w:val="0"/>
              <w:spacing w:lineRule="auto" w:line="328" w:before="0" w:after="0"/>
              <w:ind w:left="0" w:right="0" w:hanging="0"/>
              <w:jc w:val="left"/>
              <w:rPr>
                <w:spacing w:val="-3"/>
              </w:rPr>
            </w:pPr>
            <w:r>
              <w:rPr>
                <w:spacing w:val="-3"/>
              </w:rPr>
              <w:t>​</w:t>
            </w:r>
          </w:p>
        </w:tc>
        <w:tc>
          <w:tcPr>
            <w:tcW w:w="4015"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708" w:type="dxa"/>
            <w:tcBorders/>
            <w:vAlign w:val="center"/>
          </w:tcPr>
          <w:p>
            <w:pPr>
              <w:pStyle w:val="TableContents"/>
              <w:bidi w:val="0"/>
              <w:spacing w:lineRule="auto" w:line="328" w:before="0" w:after="0"/>
              <w:ind w:left="0" w:right="0" w:hanging="0"/>
              <w:jc w:val="left"/>
              <w:rPr>
                <w:spacing w:val="-3"/>
              </w:rPr>
            </w:pPr>
            <w:r>
              <w:rPr>
                <w:spacing w:val="-3"/>
              </w:rPr>
              <w:t>​</w:t>
            </w:r>
          </w:p>
        </w:tc>
        <w:tc>
          <w:tcPr>
            <w:tcW w:w="4015"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708" w:type="dxa"/>
            <w:tcBorders/>
            <w:vAlign w:val="center"/>
          </w:tcPr>
          <w:p>
            <w:pPr>
              <w:pStyle w:val="TableContents"/>
              <w:bidi w:val="0"/>
              <w:spacing w:lineRule="auto" w:line="328" w:before="0" w:after="0"/>
              <w:ind w:left="0" w:right="0" w:hanging="0"/>
              <w:jc w:val="left"/>
              <w:rPr>
                <w:spacing w:val="-3"/>
              </w:rPr>
            </w:pPr>
            <w:r>
              <w:rPr>
                <w:spacing w:val="-3"/>
              </w:rPr>
              <w:t>​</w:t>
            </w:r>
          </w:p>
        </w:tc>
        <w:tc>
          <w:tcPr>
            <w:tcW w:w="4015"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708"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May 14, 2026</w:t>
            </w:r>
          </w:p>
        </w:tc>
        <w:tc>
          <w:tcPr>
            <w:tcW w:w="4015"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By: /s/Amy A. Samford                                             </w:t>
            </w:r>
          </w:p>
        </w:tc>
      </w:tr>
      <w:tr>
        <w:trPr/>
        <w:tc>
          <w:tcPr>
            <w:tcW w:w="1708" w:type="dxa"/>
            <w:tcBorders/>
            <w:vAlign w:val="center"/>
          </w:tcPr>
          <w:p>
            <w:pPr>
              <w:pStyle w:val="TableContents"/>
              <w:bidi w:val="0"/>
              <w:spacing w:lineRule="auto" w:line="328" w:before="0" w:after="0"/>
              <w:ind w:left="0" w:right="0" w:hanging="0"/>
              <w:jc w:val="left"/>
              <w:rPr>
                <w:spacing w:val="-3"/>
              </w:rPr>
            </w:pPr>
            <w:r>
              <w:rPr>
                <w:spacing w:val="-3"/>
              </w:rPr>
              <w:t>​</w:t>
            </w:r>
          </w:p>
        </w:tc>
        <w:tc>
          <w:tcPr>
            <w:tcW w:w="4015" w:type="dxa"/>
            <w:tcBorders/>
            <w:vAlign w:val="center"/>
          </w:tcPr>
          <w:p>
            <w:pPr>
              <w:pStyle w:val="TableContents"/>
              <w:bidi w:val="0"/>
              <w:spacing w:lineRule="auto" w:line="328" w:before="0" w:after="0"/>
              <w:ind w:left="0" w:right="0" w:hanging="0"/>
              <w:jc w:val="left"/>
              <w:rPr>
                <w:rFonts w:ascii="Times New Roman;Times;serif" w:hAnsi="Times New Roman;Times;serif"/>
                <w:i/>
                <w:spacing w:val="-3"/>
                <w:sz w:val="20"/>
              </w:rPr>
            </w:pPr>
            <w:r>
              <w:rPr>
                <w:rFonts w:ascii="Times New Roman;Times;serif" w:hAnsi="Times New Roman;Times;serif"/>
                <w:i/>
                <w:spacing w:val="-3"/>
                <w:sz w:val="20"/>
              </w:rPr>
              <w:t>Amy A. Samford</w:t>
            </w:r>
          </w:p>
        </w:tc>
      </w:tr>
      <w:tr>
        <w:trPr/>
        <w:tc>
          <w:tcPr>
            <w:tcW w:w="1708" w:type="dxa"/>
            <w:tcBorders/>
            <w:vAlign w:val="center"/>
          </w:tcPr>
          <w:p>
            <w:pPr>
              <w:pStyle w:val="TableContents"/>
              <w:bidi w:val="0"/>
              <w:spacing w:lineRule="auto" w:line="328" w:before="0" w:after="0"/>
              <w:ind w:left="0" w:right="0" w:hanging="0"/>
              <w:jc w:val="left"/>
              <w:rPr>
                <w:spacing w:val="-3"/>
              </w:rPr>
            </w:pPr>
            <w:r>
              <w:rPr>
                <w:spacing w:val="-3"/>
              </w:rPr>
              <w:t>​</w:t>
            </w:r>
          </w:p>
        </w:tc>
        <w:tc>
          <w:tcPr>
            <w:tcW w:w="401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i/>
                <w:sz w:val="20"/>
              </w:rPr>
              <w:t xml:space="preserve">Executive Vice President and </w:t>
              <w:br/>
            </w:r>
            <w:r>
              <w:rPr>
                <w:rFonts w:ascii="Times New Roman;Times;serif" w:hAnsi="Times New Roman;Times;serif"/>
                <w:sz w:val="20"/>
              </w:rPr>
              <w:t xml:space="preserve">    </w:t>
            </w: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right"/>
        <w:rPr/>
      </w:pPr>
      <w:bookmarkStart w:id="44" w:name="nl-20260514xex99d1.htm"/>
      <w:bookmarkStart w:id="45" w:name="ksnl20260514xex99d1"/>
      <w:bookmarkEnd w:id="44"/>
      <w:bookmarkEnd w:id="45"/>
      <w:r>
        <w:rPr/>
        <w:t>​</w:t>
      </w:r>
      <w:r>
        <w:br w:type="page"/>
      </w:r>
    </w:p>
    <w:tbl>
      <w:tblPr>
        <w:tblW w:w="1231" w:type="dxa"/>
        <w:jc w:val="left"/>
        <w:tblInd w:w="0" w:type="dxa"/>
        <w:tblLayout w:type="fixed"/>
        <w:tblCellMar>
          <w:top w:w="0" w:type="dxa"/>
          <w:left w:w="0" w:type="dxa"/>
          <w:bottom w:w="0" w:type="dxa"/>
          <w:right w:w="0" w:type="dxa"/>
        </w:tblCellMar>
      </w:tblPr>
      <w:tblGrid>
        <w:gridCol w:w="1231"/>
      </w:tblGrid>
      <w:tr>
        <w:trPr/>
        <w:tc>
          <w:tcPr>
            <w:tcW w:w="1231" w:type="dxa"/>
            <w:tcBorders/>
            <w:vAlign w:val="center"/>
          </w:tcPr>
          <w:p>
            <w:pPr>
              <w:pStyle w:val="TableContents"/>
              <w:bidi w:val="0"/>
              <w:spacing w:before="0" w:after="0"/>
              <w:ind w:left="0" w:right="0" w:hanging="0"/>
              <w:jc w:val="left"/>
              <w:rPr/>
            </w:pPr>
            <w:r>
              <w:rPr/>
              <w:drawing>
                <wp:inline distT="0" distB="0" distL="0" distR="0">
                  <wp:extent cx="688975" cy="48323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88975" cy="483235"/>
                          </a:xfrm>
                          <a:prstGeom prst="rect">
                            <a:avLst/>
                          </a:prstGeom>
                        </pic:spPr>
                      </pic:pic>
                    </a:graphicData>
                  </a:graphic>
                </wp:inline>
              </w:drawing>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NL INDUSTRIES, INC. ANNOUNCES QUARTERLY DIVIDEND AND RESULTS OF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ANNUAL SHAREHOLDER MEETING</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May 14, 2026 – NL Industries, Inc. (NYSE:  NL) announced that its board of directors has declared a quarterly dividend of ten cents ($0.10) per share on its common stock, payable on June 23, 2026 to shareholders of record at the close of business on June 4,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NL Industries also announced that at its 2026 annual shareholder meeting held today its shareholders had: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elected each of Loretta J. Feehan, John E. Harper, Kevin B. Kramer, Meredith W. Mendes, Cecil H. Moore, Jr., Courtney J. Riley, Michael S. Simmons and R. Gerald Turner as a director for a one-year term;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adopted a resolution that approved, on a nonbinding advisory basis, the compensation of its named executive officers as disclosed in the proxy statement for the 2026 annual shareholder meeting;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approved the reincorporation of NL Industries from New Jersey to Delaware, by means of its merger with its newly formed, wholly owned Delaware subsidiary, NLI Holdings, Inc., which will be the surviving corporation and be named NLI Holdings, Inc. after the merger. </w:t>
            </w:r>
          </w:p>
        </w:tc>
      </w:tr>
    </w:tbl>
    <w:p>
      <w:pPr>
        <w:pStyle w:val="TextBody"/>
        <w:bidi w:val="0"/>
        <w:spacing w:before="0" w:after="0"/>
        <w:ind w:left="72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NL Industries currently expects the reincorporation merger and resulting name change to be effective on or about May 26, 2026.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NL Industries, Inc. is engaged in the component products (security products and recreational marine components) and chemicals (TiO</w:t>
      </w:r>
      <w:r>
        <w:rPr>
          <w:rFonts w:ascii="Times New Roman;Times;serif" w:hAnsi="Times New Roman;Times;serif"/>
          <w:sz w:val="18"/>
        </w:rPr>
        <w:t>2</w:t>
      </w:r>
      <w:r>
        <w:rPr>
          <w:rFonts w:ascii="Times New Roman;Times;serif" w:hAnsi="Times New Roman;Times;serif"/>
          <w:sz w:val="24"/>
        </w:rPr>
        <w:t>) businesses.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1298</Words>
  <Characters>7066</Characters>
  <CharactersWithSpaces>8449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