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240"/>
        <w:ind w:left="8280" w:right="0" w:firstLine="360"/>
        <w:jc w:val="left"/>
        <w:rPr/>
      </w:pPr>
      <w:hyperlink w:anchor="TOC">
        <w:bookmarkStart w:id="0" w:name="nl-20260331x10q.htm"/>
        <w:bookmarkStart w:id="1" w:name="ksnl20260331x10q"/>
        <w:bookmarkEnd w:id="0"/>
        <w:bookmarkEnd w:id="1"/>
        <w:r>
          <w:rPr>
            <w:rStyle w:val="InternetLink"/>
            <w:rFonts w:ascii="Times New Roman;Times;serif" w:hAnsi="Times New Roman;Times;serif"/>
            <w:b w:val="false"/>
            <w:i w:val="false"/>
            <w:caps w:val="false"/>
            <w:smallCaps w:val="false"/>
            <w:sz w:val="20"/>
          </w:rPr>
          <w:t>Table of Contents</w:t>
        </w:r>
      </w:hyperlink>
    </w:p>
    <w:p>
      <w:pPr>
        <w:pStyle w:val="TextBody"/>
        <w:pBdr>
          <w:top w:val="single" w:sz="24" w:space="1" w:color="000000"/>
          <w:bottom w:val="single" w:sz="8" w:space="1" w:color="000000"/>
        </w:pBdr>
        <w:bidi w:val="0"/>
        <w:spacing w:before="0" w:after="240"/>
        <w:ind w:left="0" w:right="0" w:hanging="0"/>
        <w:jc w:val="left"/>
        <w:rPr/>
      </w:pPr>
      <w:r>
        <w:rPr/>
        <w:t>​</w:t>
      </w:r>
    </w:p>
    <w:p>
      <w:pPr>
        <w:pStyle w:val="TextBody"/>
        <w:bidi w:val="0"/>
        <w:spacing w:before="0" w:after="240"/>
        <w:ind w:left="0" w:right="0" w:hanging="0"/>
        <w:jc w:val="center"/>
        <w:rPr/>
      </w:pPr>
      <w:r>
        <w:rPr/>
        <w:t>​</w:t>
      </w:r>
    </w:p>
    <w:p>
      <w:pPr>
        <w:pStyle w:val="TextBody"/>
        <w:bidi w:val="0"/>
        <w:spacing w:before="0" w:after="0"/>
        <w:ind w:left="0" w:right="0" w:hanging="0"/>
        <w:jc w:val="center"/>
        <w:rPr>
          <w:rFonts w:ascii="Times New Roman;Times;serif" w:hAnsi="Times New Roman;Times;serif"/>
          <w:b/>
          <w:sz w:val="32"/>
        </w:rPr>
      </w:pPr>
      <w:bookmarkStart w:id="2" w:name="_309e667f_db76_4301_ada0_190d98e2df0e"/>
      <w:bookmarkEnd w:id="2"/>
      <w:r>
        <w:rPr>
          <w:rFonts w:ascii="Times New Roman;Times;serif" w:hAnsi="Times New Roman;Times;serif"/>
          <w:b/>
          <w:sz w:val="32"/>
        </w:rPr>
        <w:t>UNITED STATES</w:t>
      </w:r>
    </w:p>
    <w:p>
      <w:pPr>
        <w:pStyle w:val="TextBody"/>
        <w:bidi w:val="0"/>
        <w:spacing w:before="0" w:after="0"/>
        <w:ind w:left="0" w:right="0" w:hanging="0"/>
        <w:jc w:val="center"/>
        <w:rPr>
          <w:rFonts w:ascii="Times New Roman;Times;serif" w:hAnsi="Times New Roman;Times;serif"/>
          <w:b/>
          <w:sz w:val="32"/>
        </w:rPr>
      </w:pPr>
      <w:r>
        <w:rPr>
          <w:rFonts w:ascii="Times New Roman;Times;serif" w:hAnsi="Times New Roman;Times;serif"/>
          <w:b/>
          <w:sz w:val="32"/>
        </w:rPr>
        <w:t>SECURITIES AND EXCHANGE COMMISSION</w:t>
      </w:r>
    </w:p>
    <w:p>
      <w:pPr>
        <w:pStyle w:val="TextBody"/>
        <w:bidi w:val="0"/>
        <w:spacing w:before="0" w:after="40"/>
        <w:ind w:left="0" w:right="0" w:hanging="0"/>
        <w:jc w:val="center"/>
        <w:rPr>
          <w:rFonts w:ascii="Times New Roman;Times;serif" w:hAnsi="Times New Roman;Times;serif"/>
          <w:b/>
          <w:sz w:val="32"/>
        </w:rPr>
      </w:pPr>
      <w:r>
        <w:rPr>
          <w:rFonts w:ascii="Times New Roman;Times;serif" w:hAnsi="Times New Roman;Times;serif"/>
          <w:b/>
          <w:sz w:val="32"/>
        </w:rPr>
        <w:t>Washington, D.C. 20549</w:t>
      </w:r>
    </w:p>
    <w:p>
      <w:pPr>
        <w:pStyle w:val="TextBody"/>
        <w:bidi w:val="0"/>
        <w:spacing w:before="0" w:after="0"/>
        <w:ind w:left="0" w:right="0" w:hanging="0"/>
        <w:jc w:val="center"/>
        <w:rPr>
          <w:rFonts w:ascii="Times New Roman;Times;serif" w:hAnsi="Times New Roman;Times;serif"/>
          <w:b/>
          <w:sz w:val="32"/>
        </w:rPr>
      </w:pPr>
      <w:r>
        <w:rPr>
          <w:rFonts w:ascii="Times New Roman;Times;serif" w:hAnsi="Times New Roman;Times;serif"/>
          <w:b/>
          <w:sz w:val="32"/>
        </w:rPr>
        <w:t>FORM 10-Q</w:t>
      </w:r>
    </w:p>
    <w:p>
      <w:pPr>
        <w:pStyle w:val="TextBody"/>
        <w:bidi w:val="0"/>
        <w:spacing w:before="0" w:after="0"/>
        <w:ind w:left="0" w:right="0" w:hanging="0"/>
        <w:jc w:val="center"/>
        <w:rPr/>
      </w:pPr>
      <w:r>
        <w:rPr/>
        <w:t xml:space="preserve">☒ </w:t>
      </w:r>
      <w:r>
        <w:rPr>
          <w:rFonts w:ascii="Times New Roman;Times;serif" w:hAnsi="Times New Roman;Times;serif"/>
          <w:b/>
          <w:sz w:val="24"/>
        </w:rPr>
        <w:t>QUARTERLY REPORT PURSUANT TO SECTION 13 OR 15(d) OF</w:t>
      </w:r>
    </w:p>
    <w:p>
      <w:pPr>
        <w:pStyle w:val="TextBody"/>
        <w:bidi w:val="0"/>
        <w:spacing w:before="0" w:after="0"/>
        <w:ind w:left="0" w:right="0" w:hanging="0"/>
        <w:jc w:val="center"/>
        <w:rPr>
          <w:rFonts w:ascii="Times New Roman;Times;serif" w:hAnsi="Times New Roman;Times;serif"/>
          <w:b/>
          <w:sz w:val="24"/>
        </w:rPr>
      </w:pPr>
      <w:r>
        <w:rPr>
          <w:rFonts w:ascii="Times New Roman;Times;serif" w:hAnsi="Times New Roman;Times;serif"/>
          <w:b/>
          <w:sz w:val="24"/>
        </w:rPr>
        <w:t>THE SECURITIES EXCHANGE ACT OF 1934</w:t>
      </w:r>
    </w:p>
    <w:p>
      <w:pPr>
        <w:pStyle w:val="TextBody"/>
        <w:bidi w:val="0"/>
        <w:spacing w:before="0" w:after="40"/>
        <w:ind w:left="0" w:right="0" w:hanging="0"/>
        <w:jc w:val="center"/>
        <w:rPr>
          <w:rFonts w:ascii="Times New Roman;Times;serif" w:hAnsi="Times New Roman;Times;serif"/>
          <w:b/>
          <w:sz w:val="24"/>
        </w:rPr>
      </w:pPr>
      <w:r>
        <w:rPr>
          <w:rFonts w:ascii="Times New Roman;Times;serif" w:hAnsi="Times New Roman;Times;serif"/>
          <w:b/>
          <w:sz w:val="24"/>
        </w:rPr>
        <w:t>For the quarterly period ended March 31, 2026</w:t>
      </w:r>
    </w:p>
    <w:p>
      <w:pPr>
        <w:pStyle w:val="TextBody"/>
        <w:bidi w:val="0"/>
        <w:spacing w:before="0" w:after="40"/>
        <w:ind w:left="0" w:right="0" w:hanging="0"/>
        <w:jc w:val="center"/>
        <w:rPr>
          <w:rFonts w:ascii="Times New Roman;Times;serif" w:hAnsi="Times New Roman;Times;serif"/>
          <w:b/>
          <w:sz w:val="20"/>
        </w:rPr>
      </w:pPr>
      <w:r>
        <w:rPr>
          <w:rFonts w:ascii="Times New Roman;Times;serif" w:hAnsi="Times New Roman;Times;serif"/>
          <w:b/>
          <w:sz w:val="20"/>
        </w:rPr>
        <w:t>OR</w:t>
      </w:r>
    </w:p>
    <w:p>
      <w:pPr>
        <w:pStyle w:val="TextBody"/>
        <w:bidi w:val="0"/>
        <w:spacing w:before="0" w:after="0"/>
        <w:ind w:left="0" w:right="0" w:hanging="0"/>
        <w:jc w:val="center"/>
        <w:rPr/>
      </w:pPr>
      <w:r>
        <w:rPr/>
        <w:t xml:space="preserve">☐ </w:t>
      </w:r>
      <w:r>
        <w:rPr>
          <w:rFonts w:ascii="Times New Roman;Times;serif" w:hAnsi="Times New Roman;Times;serif"/>
          <w:b/>
          <w:sz w:val="24"/>
        </w:rPr>
        <w:t>TRANSITION REPORT PURSUANT TO SECTION 13 OR 15(d) OF</w:t>
      </w:r>
    </w:p>
    <w:p>
      <w:pPr>
        <w:pStyle w:val="TextBody"/>
        <w:bidi w:val="0"/>
        <w:spacing w:before="0" w:after="40"/>
        <w:ind w:left="0" w:right="0" w:hanging="0"/>
        <w:jc w:val="center"/>
        <w:rPr>
          <w:rFonts w:ascii="Times New Roman;Times;serif" w:hAnsi="Times New Roman;Times;serif"/>
          <w:b/>
          <w:sz w:val="24"/>
        </w:rPr>
      </w:pPr>
      <w:r>
        <w:rPr>
          <w:rFonts w:ascii="Times New Roman;Times;serif" w:hAnsi="Times New Roman;Times;serif"/>
          <w:b/>
          <w:sz w:val="24"/>
        </w:rPr>
        <w:t>THE SECURITIES EXCHANGE ACT OF 1934</w:t>
      </w:r>
    </w:p>
    <w:p>
      <w:pPr>
        <w:pStyle w:val="TextBody"/>
        <w:bidi w:val="0"/>
        <w:spacing w:before="0" w:after="80"/>
        <w:ind w:left="0" w:right="0" w:hanging="0"/>
        <w:jc w:val="center"/>
        <w:rPr>
          <w:rFonts w:ascii="Times New Roman;Times;serif" w:hAnsi="Times New Roman;Times;serif"/>
          <w:b/>
          <w:sz w:val="20"/>
        </w:rPr>
      </w:pPr>
      <w:r>
        <w:rPr>
          <w:rFonts w:ascii="Times New Roman;Times;serif" w:hAnsi="Times New Roman;Times;serif"/>
          <w:b/>
          <w:sz w:val="20"/>
        </w:rPr>
        <w:t>For the transition period from to</w:t>
      </w:r>
    </w:p>
    <w:p>
      <w:pPr>
        <w:pStyle w:val="TextBody"/>
        <w:bidi w:val="0"/>
        <w:spacing w:before="0" w:after="40"/>
        <w:ind w:left="0" w:right="0" w:hanging="0"/>
        <w:jc w:val="center"/>
        <w:rPr>
          <w:rFonts w:ascii="Times New Roman;Times;serif" w:hAnsi="Times New Roman;Times;serif"/>
          <w:b/>
          <w:sz w:val="20"/>
        </w:rPr>
      </w:pPr>
      <w:r>
        <w:rPr>
          <w:rFonts w:ascii="Times New Roman;Times;serif" w:hAnsi="Times New Roman;Times;serif"/>
          <w:b/>
          <w:sz w:val="20"/>
        </w:rPr>
        <w:t>Commission file number 1-640</w:t>
      </w:r>
    </w:p>
    <w:p>
      <w:pPr>
        <w:pStyle w:val="TextBody"/>
        <w:bidi w:val="0"/>
        <w:spacing w:before="0" w:after="80"/>
        <w:ind w:left="0" w:right="0" w:hanging="0"/>
        <w:jc w:val="center"/>
        <w:rPr>
          <w:rFonts w:ascii="Times New Roman;Times;serif" w:hAnsi="Times New Roman;Times;serif"/>
          <w:b/>
          <w:sz w:val="40"/>
        </w:rPr>
      </w:pPr>
      <w:r>
        <w:rPr>
          <w:rFonts w:ascii="Times New Roman;Times;serif" w:hAnsi="Times New Roman;Times;serif"/>
          <w:b/>
          <w:sz w:val="40"/>
        </w:rPr>
        <w:t>NL INDUSTRIES, INC.</w:t>
      </w:r>
    </w:p>
    <w:p>
      <w:pPr>
        <w:pStyle w:val="TextBody"/>
        <w:bidi w:val="0"/>
        <w:spacing w:before="0" w:after="40"/>
        <w:ind w:left="0" w:right="0" w:hanging="0"/>
        <w:jc w:val="center"/>
        <w:rPr>
          <w:rFonts w:ascii="Times New Roman;Times;serif" w:hAnsi="Times New Roman;Times;serif"/>
          <w:b/>
          <w:sz w:val="20"/>
        </w:rPr>
      </w:pPr>
      <w:r>
        <w:rPr>
          <w:rFonts w:ascii="Times New Roman;Times;serif" w:hAnsi="Times New Roman;Times;serif"/>
          <w:b/>
          <w:sz w:val="20"/>
        </w:rPr>
        <w:t>(Exact name of Registrant as specified in its charter)</w:t>
      </w:r>
    </w:p>
    <w:p>
      <w:pPr>
        <w:pStyle w:val="Normal"/>
        <w:bidi w:val="0"/>
        <w:spacing w:before="0" w:after="0"/>
        <w:jc w:val="left"/>
        <w:rPr>
          <w:sz w:val="4"/>
          <w:szCs w:val="4"/>
        </w:rPr>
      </w:pPr>
      <w:r>
        <w:rPr>
          <w:sz w:val="4"/>
          <w:szCs w:val="4"/>
        </w:rPr>
      </w:r>
      <w:bookmarkStart w:id="3" w:name="Tc_RT7Qg0U2-U6yjmeHtpIPQQ_2_2"/>
      <w:bookmarkStart w:id="4" w:name="Tc_wuxV24oOq0i4vD_c7R3OsA_2_0"/>
      <w:bookmarkStart w:id="5" w:name="_a589bb6e_3410_47dd_9788_c4e3ba4ba93f"/>
      <w:bookmarkStart w:id="6" w:name="Tc_RT7Qg0U2-U6yjmeHtpIPQQ_2_2"/>
      <w:bookmarkStart w:id="7" w:name="Tc_wuxV24oOq0i4vD_c7R3OsA_2_0"/>
      <w:bookmarkStart w:id="8" w:name="_a589bb6e_3410_47dd_9788_c4e3ba4ba93f"/>
      <w:bookmarkEnd w:id="6"/>
      <w:bookmarkEnd w:id="7"/>
      <w:bookmarkEnd w:id="8"/>
    </w:p>
    <w:tbl>
      <w:tblPr>
        <w:tblW w:w="4773" w:type="dxa"/>
        <w:jc w:val="left"/>
        <w:tblInd w:w="0" w:type="dxa"/>
        <w:tblLayout w:type="fixed"/>
        <w:tblCellMar>
          <w:top w:w="0" w:type="dxa"/>
          <w:left w:w="0" w:type="dxa"/>
          <w:bottom w:w="0" w:type="dxa"/>
          <w:right w:w="0" w:type="dxa"/>
        </w:tblCellMar>
      </w:tblPr>
      <w:tblGrid>
        <w:gridCol w:w="2746"/>
        <w:gridCol w:w="346"/>
        <w:gridCol w:w="1681"/>
      </w:tblGrid>
      <w:tr>
        <w:trPr/>
        <w:tc>
          <w:tcPr>
            <w:tcW w:w="27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1743710" cy="175260"/>
                      <wp:effectExtent l="0" t="0" r="0" b="0"/>
                      <wp:wrapNone/>
                      <wp:docPr id="1" name="Frame1"/>
                      <a:graphic xmlns:a="http://schemas.openxmlformats.org/drawingml/2006/main">
                        <a:graphicData uri="http://schemas.microsoft.com/office/word/2010/wordprocessingShape">
                          <wps:wsp>
                            <wps:cNvSpPr txBox="1"/>
                            <wps:spPr>
                              <a:xfrm>
                                <a:off x="0" y="0"/>
                                <a:ext cx="1743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219710" cy="175260"/>
                      <wp:effectExtent l="0" t="0" r="0" b="0"/>
                      <wp:wrapNone/>
                      <wp:docPr id="2" name="Frame2"/>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6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1067435" cy="175260"/>
                      <wp:effectExtent l="0" t="0" r="0" b="0"/>
                      <wp:wrapNone/>
                      <wp:docPr id="3" name="Frame3"/>
                      <a:graphic xmlns:a="http://schemas.openxmlformats.org/drawingml/2006/main">
                        <a:graphicData uri="http://schemas.microsoft.com/office/word/2010/wordprocessingShape">
                          <wps:wsp>
                            <wps:cNvSpPr txBox="1"/>
                            <wps:spPr>
                              <a:xfrm>
                                <a:off x="0" y="0"/>
                                <a:ext cx="10674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84.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746" w:type="dxa"/>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New Jersey</w:t>
            </w:r>
          </w:p>
        </w:tc>
        <w:tc>
          <w:tcPr>
            <w:tcW w:w="346" w:type="dxa"/>
            <w:tcBorders/>
            <w:vAlign w:val="center"/>
          </w:tcPr>
          <w:p>
            <w:pPr>
              <w:pStyle w:val="TableContents"/>
              <w:bidi w:val="0"/>
              <w:spacing w:before="0" w:after="0"/>
              <w:ind w:left="0" w:right="0" w:hanging="0"/>
              <w:jc w:val="left"/>
              <w:rPr/>
            </w:pPr>
            <w:r>
              <w:rPr/>
              <w:t>  ​ ​ ​</w:t>
            </w:r>
          </w:p>
        </w:tc>
        <w:tc>
          <w:tcPr>
            <w:tcW w:w="1681" w:type="dxa"/>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13-5267260</w:t>
            </w:r>
          </w:p>
        </w:tc>
      </w:tr>
      <w:tr>
        <w:trPr/>
        <w:tc>
          <w:tcPr>
            <w:tcW w:w="2746" w:type="dxa"/>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(State or other jurisdiction of</w:t>
            </w:r>
          </w:p>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incorporation or organization)</w:t>
            </w:r>
          </w:p>
        </w:tc>
        <w:tc>
          <w:tcPr>
            <w:tcW w:w="346" w:type="dxa"/>
            <w:tcBorders/>
            <w:vAlign w:val="center"/>
          </w:tcPr>
          <w:p>
            <w:pPr>
              <w:pStyle w:val="TableContents"/>
              <w:bidi w:val="0"/>
              <w:spacing w:before="0" w:after="0"/>
              <w:ind w:left="0" w:right="0" w:hanging="0"/>
              <w:jc w:val="left"/>
              <w:rPr/>
            </w:pPr>
            <w:r>
              <w:rPr/>
              <w:t> </w:t>
            </w:r>
          </w:p>
        </w:tc>
        <w:tc>
          <w:tcPr>
            <w:tcW w:w="1681" w:type="dxa"/>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 xml:space="preserve">(IRS Employer </w:t>
            </w:r>
          </w:p>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Identification No.)</w:t>
            </w:r>
          </w:p>
        </w:tc>
      </w:tr>
    </w:tbl>
    <w:p>
      <w:pPr>
        <w:pStyle w:val="TextBody"/>
        <w:bidi w:val="0"/>
        <w:spacing w:before="80" w:after="0"/>
        <w:ind w:left="0" w:right="0" w:hanging="0"/>
        <w:jc w:val="center"/>
        <w:rPr>
          <w:rFonts w:ascii="Times New Roman;Times;serif" w:hAnsi="Times New Roman;Times;serif"/>
          <w:b/>
          <w:sz w:val="20"/>
        </w:rPr>
      </w:pPr>
      <w:r>
        <w:rPr>
          <w:rFonts w:ascii="Times New Roman;Times;serif" w:hAnsi="Times New Roman;Times;serif"/>
          <w:b/>
          <w:sz w:val="20"/>
        </w:rPr>
        <w:t>5430 LBJ Freeway, Suite 1700</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b/>
          <w:sz w:val="20"/>
        </w:rPr>
        <w:t>Dallas, Texas</w:t>
      </w:r>
      <w:r>
        <w:rPr>
          <w:rFonts w:ascii="Times New Roman;Times;serif" w:hAnsi="Times New Roman;Times;serif"/>
          <w:sz w:val="20"/>
        </w:rPr>
        <w:t xml:space="preserve"> </w:t>
      </w:r>
      <w:r>
        <w:rPr>
          <w:rFonts w:ascii="Times New Roman;Times;serif" w:hAnsi="Times New Roman;Times;serif"/>
          <w:b/>
          <w:sz w:val="20"/>
        </w:rPr>
        <w:t>75240-2620</w:t>
      </w:r>
    </w:p>
    <w:p>
      <w:pPr>
        <w:pStyle w:val="TextBody"/>
        <w:bidi w:val="0"/>
        <w:spacing w:before="0" w:after="80"/>
        <w:ind w:left="0" w:right="0" w:hanging="0"/>
        <w:jc w:val="center"/>
        <w:rPr>
          <w:rFonts w:ascii="Times New Roman;Times;serif" w:hAnsi="Times New Roman;Times;serif"/>
          <w:b/>
          <w:sz w:val="20"/>
        </w:rPr>
      </w:pPr>
      <w:r>
        <w:rPr>
          <w:rFonts w:ascii="Times New Roman;Times;serif" w:hAnsi="Times New Roman;Times;serif"/>
          <w:b/>
          <w:sz w:val="20"/>
        </w:rPr>
        <w:t>(Address of principal executive offices)</w:t>
      </w:r>
    </w:p>
    <w:p>
      <w:pPr>
        <w:pStyle w:val="TextBody"/>
        <w:bidi w:val="0"/>
        <w:spacing w:before="0" w:after="40"/>
        <w:ind w:left="0" w:right="0" w:hanging="0"/>
        <w:jc w:val="center"/>
        <w:rPr>
          <w:rFonts w:ascii="Times New Roman;Times;serif" w:hAnsi="Times New Roman;Times;serif"/>
          <w:b/>
          <w:sz w:val="20"/>
        </w:rPr>
      </w:pPr>
      <w:r>
        <w:rPr>
          <w:rFonts w:ascii="Times New Roman;Times;serif" w:hAnsi="Times New Roman;Times;serif"/>
          <w:b/>
          <w:sz w:val="20"/>
        </w:rPr>
        <w:t>Registrant’s telephone number, including area code: (972) 233-1700</w:t>
      </w:r>
    </w:p>
    <w:p>
      <w:pPr>
        <w:pStyle w:val="TextBody"/>
        <w:bidi w:val="0"/>
        <w:spacing w:before="0" w:after="40"/>
        <w:ind w:left="0" w:right="0" w:hanging="0"/>
        <w:jc w:val="left"/>
        <w:rPr>
          <w:rFonts w:ascii="Times New Roman;Times;serif" w:hAnsi="Times New Roman;Times;serif"/>
          <w:b/>
          <w:sz w:val="18"/>
        </w:rPr>
      </w:pPr>
      <w:r>
        <w:rPr>
          <w:rFonts w:ascii="Times New Roman;Times;serif" w:hAnsi="Times New Roman;Times;serif"/>
          <w:b/>
          <w:sz w:val="18"/>
        </w:rPr>
        <w:t>Securities registered pursuant to Section 12(b) of the Act:</w:t>
      </w:r>
    </w:p>
    <w:p>
      <w:pPr>
        <w:pStyle w:val="Normal"/>
        <w:bidi w:val="0"/>
        <w:spacing w:before="0" w:after="0"/>
        <w:jc w:val="left"/>
        <w:rPr>
          <w:sz w:val="4"/>
          <w:szCs w:val="4"/>
        </w:rPr>
      </w:pPr>
      <w:r>
        <w:rPr>
          <w:sz w:val="4"/>
          <w:szCs w:val="4"/>
        </w:rPr>
      </w:r>
      <w:bookmarkStart w:id="9" w:name="Tc__KocSFIW6EaJSWRpxjblWQ_1_4"/>
      <w:bookmarkStart w:id="10" w:name="Tc_oj3WSeKaB0CdLWb2_3gTeQ_1_2"/>
      <w:bookmarkStart w:id="11" w:name="Tc_8MHq3fxn7UWakoq-XDT-YA_1_0"/>
      <w:bookmarkStart w:id="12" w:name="_12006e4a_afa4_4d6a_8957_58a3f3896f19"/>
      <w:bookmarkStart w:id="13" w:name="Tc__KocSFIW6EaJSWRpxjblWQ_1_4"/>
      <w:bookmarkStart w:id="14" w:name="Tc_oj3WSeKaB0CdLWb2_3gTeQ_1_2"/>
      <w:bookmarkStart w:id="15" w:name="Tc_8MHq3fxn7UWakoq-XDT-YA_1_0"/>
      <w:bookmarkStart w:id="16" w:name="_12006e4a_afa4_4d6a_8957_58a3f3896f19"/>
      <w:bookmarkEnd w:id="13"/>
      <w:bookmarkEnd w:id="14"/>
      <w:bookmarkEnd w:id="15"/>
      <w:bookmarkEnd w:id="16"/>
    </w:p>
    <w:tbl>
      <w:tblPr>
        <w:tblW w:w="7190" w:type="dxa"/>
        <w:jc w:val="left"/>
        <w:tblInd w:w="0" w:type="dxa"/>
        <w:tblLayout w:type="fixed"/>
        <w:tblCellMar>
          <w:top w:w="0" w:type="dxa"/>
          <w:left w:w="0" w:type="dxa"/>
          <w:bottom w:w="0" w:type="dxa"/>
          <w:right w:w="0" w:type="dxa"/>
        </w:tblCellMar>
      </w:tblPr>
      <w:tblGrid>
        <w:gridCol w:w="1456"/>
        <w:gridCol w:w="346"/>
        <w:gridCol w:w="1561"/>
        <w:gridCol w:w="346"/>
        <w:gridCol w:w="3481"/>
      </w:tblGrid>
      <w:tr>
        <w:trPr/>
        <w:tc>
          <w:tcPr>
            <w:tcW w:w="145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56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3481" w:type="dxa"/>
            <w:tcBorders/>
            <w:vAlign w:val="center"/>
          </w:tcPr>
          <w:p>
            <w:pPr>
              <w:pStyle w:val="TableContents"/>
              <w:bidi w:val="0"/>
              <w:spacing w:before="0" w:after="0"/>
              <w:ind w:left="0" w:right="0" w:hanging="0"/>
              <w:jc w:val="left"/>
              <w:rPr/>
            </w:pPr>
            <w:r>
              <w:rPr/>
              <w:t>​</w:t>
            </w:r>
          </w:p>
        </w:tc>
      </w:tr>
      <w:tr>
        <w:trPr/>
        <w:tc>
          <w:tcPr>
            <w:tcW w:w="145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Title of each class</w:t>
            </w:r>
          </w:p>
        </w:tc>
        <w:tc>
          <w:tcPr>
            <w:tcW w:w="346" w:type="dxa"/>
            <w:tcBorders/>
            <w:vAlign w:val="center"/>
          </w:tcPr>
          <w:p>
            <w:pPr>
              <w:pStyle w:val="TableContents"/>
              <w:bidi w:val="0"/>
              <w:spacing w:before="0" w:after="0"/>
              <w:ind w:left="0" w:right="0" w:hanging="0"/>
              <w:jc w:val="both"/>
              <w:rPr/>
            </w:pPr>
            <w:r>
              <w:rPr/>
              <w:t>  ​ ​ ​</w:t>
            </w:r>
          </w:p>
        </w:tc>
        <w:tc>
          <w:tcPr>
            <w:tcW w:w="156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Trading Symbol(s)</w:t>
            </w:r>
          </w:p>
        </w:tc>
        <w:tc>
          <w:tcPr>
            <w:tcW w:w="346" w:type="dxa"/>
            <w:tcBorders/>
            <w:vAlign w:val="center"/>
          </w:tcPr>
          <w:p>
            <w:pPr>
              <w:pStyle w:val="TableContents"/>
              <w:bidi w:val="0"/>
              <w:spacing w:before="0" w:after="0"/>
              <w:ind w:left="0" w:right="0" w:hanging="0"/>
              <w:jc w:val="both"/>
              <w:rPr/>
            </w:pPr>
            <w:r>
              <w:rPr/>
              <w:t>  ​ ​ ​</w:t>
            </w:r>
          </w:p>
        </w:tc>
        <w:tc>
          <w:tcPr>
            <w:tcW w:w="348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Name of each exchange on which registered</w:t>
            </w:r>
          </w:p>
        </w:tc>
      </w:tr>
      <w:tr>
        <w:trPr/>
        <w:tc>
          <w:tcPr>
            <w:tcW w:w="1456" w:type="dxa"/>
            <w:tcBorders>
              <w:top w:val="single" w:sz="2" w:space="0" w:color="000000"/>
            </w:tcBorders>
            <w:tcMar>
              <w:top w:w="28" w:type="dxa"/>
            </w:tcMar>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Common stock</w:t>
            </w:r>
          </w:p>
        </w:tc>
        <w:tc>
          <w:tcPr>
            <w:tcW w:w="346" w:type="dxa"/>
            <w:tcBorders/>
            <w:vAlign w:val="center"/>
          </w:tcPr>
          <w:p>
            <w:pPr>
              <w:pStyle w:val="TableContents"/>
              <w:bidi w:val="0"/>
              <w:spacing w:before="0" w:after="0"/>
              <w:ind w:left="0" w:right="0" w:hanging="0"/>
              <w:jc w:val="both"/>
              <w:rPr/>
            </w:pPr>
            <w:r>
              <w:rPr/>
              <w:t>​</w:t>
            </w:r>
          </w:p>
        </w:tc>
        <w:tc>
          <w:tcPr>
            <w:tcW w:w="1561" w:type="dxa"/>
            <w:tcBorders/>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NL</w:t>
            </w:r>
          </w:p>
        </w:tc>
        <w:tc>
          <w:tcPr>
            <w:tcW w:w="346" w:type="dxa"/>
            <w:tcBorders/>
            <w:vAlign w:val="center"/>
          </w:tcPr>
          <w:p>
            <w:pPr>
              <w:pStyle w:val="TableContents"/>
              <w:bidi w:val="0"/>
              <w:spacing w:before="0" w:after="0"/>
              <w:ind w:left="0" w:right="0" w:hanging="0"/>
              <w:jc w:val="both"/>
              <w:rPr/>
            </w:pPr>
            <w:r>
              <w:rPr/>
              <w:t>​</w:t>
            </w:r>
          </w:p>
        </w:tc>
        <w:tc>
          <w:tcPr>
            <w:tcW w:w="3481" w:type="dxa"/>
            <w:tcBorders/>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NYSE</w:t>
            </w:r>
          </w:p>
        </w:tc>
      </w:tr>
    </w:tbl>
    <w:p>
      <w:pPr>
        <w:pStyle w:val="TextBody"/>
        <w:bidi w:val="0"/>
        <w:spacing w:lineRule="auto" w:line="115" w:before="0" w:after="0"/>
        <w:ind w:left="0" w:right="0" w:hanging="0"/>
        <w:jc w:val="left"/>
        <w:rPr/>
      </w:pPr>
      <w:r>
        <w:rPr/>
        <w:t>​</w:t>
      </w:r>
    </w:p>
    <w:p>
      <w:pPr>
        <w:pStyle w:val="TextBody"/>
        <w:bidi w:val="0"/>
        <w:spacing w:before="0" w:after="40"/>
        <w:ind w:left="0" w:right="0" w:hanging="0"/>
        <w:jc w:val="both"/>
        <w:rPr>
          <w:rFonts w:ascii="Times New Roman;Times;serif" w:hAnsi="Times New Roman;Times;serif"/>
          <w:sz w:val="20"/>
        </w:rPr>
      </w:pPr>
      <w:r>
        <w:rPr>
          <w:rFonts w:ascii="Times New Roman;Times;serif" w:hAnsi="Times New Roman;Times;serif"/>
          <w:b/>
          <w:sz w:val="20"/>
        </w:rPr>
        <w:t>Indicate by check mark whether the registrant (1) has filed all reports required to be filed by Section 13 or 15(d) of the Securities Exchange Act of 1934 during the preceding 12 months and (2) has been subject to such filing requirements for the past 90 days.   Yes</w:t>
      </w:r>
      <w:r>
        <w:rPr>
          <w:rFonts w:ascii="Times New Roman;Times;serif" w:hAnsi="Times New Roman;Times;serif"/>
          <w:sz w:val="20"/>
        </w:rPr>
        <w:t>  ☒    </w:t>
      </w:r>
      <w:r>
        <w:rPr>
          <w:rFonts w:ascii="Times New Roman;Times;serif" w:hAnsi="Times New Roman;Times;serif"/>
          <w:b/>
          <w:sz w:val="20"/>
        </w:rPr>
        <w:t>No  </w:t>
      </w:r>
      <w:r>
        <w:rPr>
          <w:rFonts w:ascii="Times New Roman;Times;serif" w:hAnsi="Times New Roman;Times;serif"/>
          <w:sz w:val="20"/>
        </w:rPr>
        <w:t>☐</w:t>
      </w:r>
    </w:p>
    <w:p>
      <w:pPr>
        <w:pStyle w:val="TextBody"/>
        <w:bidi w:val="0"/>
        <w:spacing w:before="0" w:after="80"/>
        <w:ind w:left="0" w:right="0" w:hanging="0"/>
        <w:jc w:val="both"/>
        <w:rPr>
          <w:rFonts w:ascii="Times New Roman;Times;serif" w:hAnsi="Times New Roman;Times;serif"/>
          <w:sz w:val="20"/>
        </w:rPr>
      </w:pPr>
      <w:r>
        <w:rPr>
          <w:rFonts w:ascii="Times New Roman;Times;serif" w:hAnsi="Times New Roman;Times;serif"/>
          <w:b/>
          <w:sz w:val="20"/>
        </w:rPr>
        <w:t>Indicate by check mark whether the registrant has submitted electronically every Interactive Data File required to be submitted pursuant to Rule 405 of Regulation S-T during the preceding 12 months (or for such shorter period that the registrant was required to submit such files).   Yes</w:t>
      </w:r>
      <w:r>
        <w:rPr>
          <w:rFonts w:ascii="Times New Roman;Times;serif" w:hAnsi="Times New Roman;Times;serif"/>
          <w:sz w:val="20"/>
        </w:rPr>
        <w:t>  ☒    </w:t>
      </w:r>
      <w:r>
        <w:rPr>
          <w:rFonts w:ascii="Times New Roman;Times;serif" w:hAnsi="Times New Roman;Times;serif"/>
          <w:b/>
          <w:sz w:val="20"/>
        </w:rPr>
        <w:t>No  </w:t>
      </w:r>
      <w:r>
        <w:rPr>
          <w:rFonts w:ascii="Times New Roman;Times;serif" w:hAnsi="Times New Roman;Times;serif"/>
          <w:sz w:val="20"/>
        </w:rPr>
        <w:t>☐</w:t>
      </w:r>
    </w:p>
    <w:p>
      <w:pPr>
        <w:pStyle w:val="TextBody"/>
        <w:bidi w:val="0"/>
        <w:spacing w:before="0" w:after="80"/>
        <w:ind w:left="0" w:right="0" w:hanging="0"/>
        <w:jc w:val="both"/>
        <w:rPr>
          <w:rFonts w:ascii="Times New Roman;Times;serif" w:hAnsi="Times New Roman;Times;serif"/>
          <w:b/>
          <w:sz w:val="20"/>
        </w:rPr>
      </w:pPr>
      <w:r>
        <w:rPr>
          <w:rFonts w:ascii="Times New Roman;Times;serif" w:hAnsi="Times New Roman;Times;serif"/>
          <w:b/>
          <w:sz w:val="20"/>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pStyle w:val="Normal"/>
        <w:bidi w:val="0"/>
        <w:spacing w:before="0" w:after="0"/>
        <w:jc w:val="left"/>
        <w:rPr>
          <w:sz w:val="4"/>
          <w:szCs w:val="4"/>
        </w:rPr>
      </w:pPr>
      <w:r>
        <w:rPr>
          <w:sz w:val="4"/>
          <w:szCs w:val="4"/>
        </w:rPr>
      </w:r>
      <w:bookmarkStart w:id="17" w:name="Tc_aGyjw53Zdkin5jho_fSo3g_3_0"/>
      <w:bookmarkStart w:id="18" w:name="Tc_3k6a0vLfVki3MXK-JsU0jQ_2_2"/>
      <w:bookmarkStart w:id="19" w:name="Tc_D2zaiANY1k23kftll5bWLg_2_1"/>
      <w:bookmarkStart w:id="20" w:name="Tc_VepmZcI0zkiUFPlMqKh4Ew_1_3"/>
      <w:bookmarkStart w:id="21" w:name="Tc_s70NnTDvLkWUJR151Sl6Ng_1_2"/>
      <w:bookmarkStart w:id="22" w:name="Tc_xTEbP-kgBkSEMPk2xY081Q_1_1"/>
      <w:bookmarkStart w:id="23" w:name="Tc_JacFM_Atw0qEyCIGV-3ghA_1_0"/>
      <w:bookmarkStart w:id="24" w:name="_34881a88_fd09_4280_8a5a_ab3c539b4629"/>
      <w:bookmarkStart w:id="25" w:name="Tc_aGyjw53Zdkin5jho_fSo3g_3_0"/>
      <w:bookmarkStart w:id="26" w:name="Tc_3k6a0vLfVki3MXK-JsU0jQ_2_2"/>
      <w:bookmarkStart w:id="27" w:name="Tc_D2zaiANY1k23kftll5bWLg_2_1"/>
      <w:bookmarkStart w:id="28" w:name="Tc_VepmZcI0zkiUFPlMqKh4Ew_1_3"/>
      <w:bookmarkStart w:id="29" w:name="Tc_s70NnTDvLkWUJR151Sl6Ng_1_2"/>
      <w:bookmarkStart w:id="30" w:name="Tc_xTEbP-kgBkSEMPk2xY081Q_1_1"/>
      <w:bookmarkStart w:id="31" w:name="Tc_JacFM_Atw0qEyCIGV-3ghA_1_0"/>
      <w:bookmarkStart w:id="32" w:name="_34881a88_fd09_4280_8a5a_ab3c539b4629"/>
      <w:bookmarkEnd w:id="25"/>
      <w:bookmarkEnd w:id="26"/>
      <w:bookmarkEnd w:id="27"/>
      <w:bookmarkEnd w:id="28"/>
      <w:bookmarkEnd w:id="29"/>
      <w:bookmarkEnd w:id="30"/>
      <w:bookmarkEnd w:id="31"/>
      <w:bookmarkEnd w:id="32"/>
    </w:p>
    <w:tbl>
      <w:tblPr>
        <w:tblW w:w="5719" w:type="dxa"/>
        <w:jc w:val="left"/>
        <w:tblInd w:w="0" w:type="dxa"/>
        <w:tblLayout w:type="fixed"/>
        <w:tblCellMar>
          <w:top w:w="0" w:type="dxa"/>
          <w:left w:w="0" w:type="dxa"/>
          <w:bottom w:w="0" w:type="dxa"/>
          <w:right w:w="0" w:type="dxa"/>
        </w:tblCellMar>
      </w:tblPr>
      <w:tblGrid>
        <w:gridCol w:w="2536"/>
        <w:gridCol w:w="316"/>
        <w:gridCol w:w="2506"/>
        <w:gridCol w:w="361"/>
      </w:tblGrid>
      <w:tr>
        <w:trPr/>
        <w:tc>
          <w:tcPr>
            <w:tcW w:w="2536" w:type="dxa"/>
            <w:tcBorders/>
            <w:vAlign w:val="center"/>
          </w:tcPr>
          <w:p>
            <w:pPr>
              <w:pStyle w:val="TableContents"/>
              <w:bidi w:val="0"/>
              <w:spacing w:before="0" w:after="0"/>
              <w:ind w:left="0" w:right="0" w:hanging="0"/>
              <w:jc w:val="left"/>
              <w:rPr/>
            </w:pPr>
            <w:r>
              <w:rPr/>
              <w:t>​</w:t>
            </w:r>
          </w:p>
        </w:tc>
        <w:tc>
          <w:tcPr>
            <w:tcW w:w="316" w:type="dxa"/>
            <w:tcBorders/>
            <w:vAlign w:val="center"/>
          </w:tcPr>
          <w:p>
            <w:pPr>
              <w:pStyle w:val="TableContents"/>
              <w:bidi w:val="0"/>
              <w:spacing w:before="0" w:after="0"/>
              <w:ind w:left="0" w:right="0" w:hanging="0"/>
              <w:jc w:val="left"/>
              <w:rPr/>
            </w:pPr>
            <w:r>
              <w:rPr/>
              <w:t>​</w:t>
            </w:r>
          </w:p>
        </w:tc>
        <w:tc>
          <w:tcPr>
            <w:tcW w:w="2506" w:type="dxa"/>
            <w:tcBorders/>
            <w:vAlign w:val="center"/>
          </w:tcPr>
          <w:p>
            <w:pPr>
              <w:pStyle w:val="TableContents"/>
              <w:bidi w:val="0"/>
              <w:spacing w:before="0" w:after="0"/>
              <w:ind w:left="0" w:right="0" w:hanging="0"/>
              <w:jc w:val="left"/>
              <w:rPr/>
            </w:pPr>
            <w:r>
              <w:rPr/>
              <w:t>​</w:t>
            </w:r>
          </w:p>
        </w:tc>
        <w:tc>
          <w:tcPr>
            <w:tcW w:w="361" w:type="dxa"/>
            <w:tcBorders/>
            <w:vAlign w:val="center"/>
          </w:tcPr>
          <w:p>
            <w:pPr>
              <w:pStyle w:val="TableContents"/>
              <w:bidi w:val="0"/>
              <w:spacing w:before="0" w:after="0"/>
              <w:ind w:left="0" w:right="0" w:hanging="0"/>
              <w:jc w:val="left"/>
              <w:rPr/>
            </w:pPr>
            <w:r>
              <w:rPr/>
              <w:t>​</w:t>
            </w:r>
          </w:p>
        </w:tc>
      </w:tr>
      <w:tr>
        <w:trPr/>
        <w:tc>
          <w:tcPr>
            <w:tcW w:w="2536" w:type="dxa"/>
            <w:tcBorders/>
            <w:vAlign w:val="center"/>
          </w:tcPr>
          <w:p>
            <w:pPr>
              <w:pStyle w:val="TableContents"/>
              <w:bidi w:val="0"/>
              <w:spacing w:before="0" w:after="0"/>
              <w:ind w:left="0" w:right="0" w:hanging="0"/>
              <w:jc w:val="both"/>
              <w:rPr>
                <w:rFonts w:ascii="Times New Roman;Times;serif" w:hAnsi="Times New Roman;Times;serif"/>
                <w:b/>
                <w:sz w:val="20"/>
              </w:rPr>
            </w:pPr>
            <w:r>
              <w:rPr>
                <w:rFonts w:ascii="Times New Roman;Times;serif" w:hAnsi="Times New Roman;Times;serif"/>
                <w:b/>
                <w:sz w:val="20"/>
              </w:rPr>
              <w:t>Large accelerated filer          </w:t>
            </w:r>
          </w:p>
        </w:tc>
        <w:tc>
          <w:tcPr>
            <w:tcW w:w="316" w:type="dxa"/>
            <w:tcBorders/>
            <w:vAlign w:val="center"/>
          </w:tcPr>
          <w:p>
            <w:pPr>
              <w:pStyle w:val="TableContents"/>
              <w:bidi w:val="0"/>
              <w:spacing w:before="0" w:after="0"/>
              <w:ind w:left="0" w:right="0" w:hanging="0"/>
              <w:jc w:val="both"/>
              <w:rPr/>
            </w:pPr>
            <w:r>
              <w:rPr/>
              <w:t>☐</w:t>
            </w:r>
          </w:p>
        </w:tc>
        <w:tc>
          <w:tcPr>
            <w:tcW w:w="2506" w:type="dxa"/>
            <w:tcBorders/>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Accelerated filer</w:t>
            </w:r>
          </w:p>
        </w:tc>
        <w:tc>
          <w:tcPr>
            <w:tcW w:w="361" w:type="dxa"/>
            <w:tcBorders/>
            <w:vAlign w:val="center"/>
          </w:tcPr>
          <w:p>
            <w:pPr>
              <w:pStyle w:val="TableContents"/>
              <w:bidi w:val="0"/>
              <w:spacing w:before="0" w:after="0"/>
              <w:ind w:left="0" w:right="0" w:hanging="0"/>
              <w:jc w:val="right"/>
              <w:rPr/>
            </w:pPr>
            <w:r>
              <w:rPr/>
              <w:t>☐</w:t>
            </w:r>
          </w:p>
        </w:tc>
      </w:tr>
      <w:tr>
        <w:trPr/>
        <w:tc>
          <w:tcPr>
            <w:tcW w:w="2536" w:type="dxa"/>
            <w:tcBorders/>
            <w:vAlign w:val="center"/>
          </w:tcPr>
          <w:p>
            <w:pPr>
              <w:pStyle w:val="TableContents"/>
              <w:bidi w:val="0"/>
              <w:spacing w:before="0" w:after="0"/>
              <w:ind w:left="0" w:right="0" w:hanging="0"/>
              <w:jc w:val="both"/>
              <w:rPr>
                <w:rFonts w:ascii="Times New Roman;Times;serif" w:hAnsi="Times New Roman;Times;serif"/>
                <w:b/>
                <w:sz w:val="20"/>
              </w:rPr>
            </w:pPr>
            <w:r>
              <w:rPr>
                <w:rFonts w:ascii="Times New Roman;Times;serif" w:hAnsi="Times New Roman;Times;serif"/>
                <w:b/>
                <w:sz w:val="20"/>
              </w:rPr>
              <w:t xml:space="preserve">Non-accelerated filer </w:t>
            </w:r>
          </w:p>
        </w:tc>
        <w:tc>
          <w:tcPr>
            <w:tcW w:w="316" w:type="dxa"/>
            <w:tcBorders/>
            <w:vAlign w:val="center"/>
          </w:tcPr>
          <w:p>
            <w:pPr>
              <w:pStyle w:val="TableContents"/>
              <w:bidi w:val="0"/>
              <w:spacing w:before="0" w:after="0"/>
              <w:ind w:left="0" w:right="0" w:hanging="0"/>
              <w:jc w:val="both"/>
              <w:rPr/>
            </w:pPr>
            <w:r>
              <w:rPr/>
              <w:t>☒</w:t>
            </w:r>
          </w:p>
        </w:tc>
        <w:tc>
          <w:tcPr>
            <w:tcW w:w="2506" w:type="dxa"/>
            <w:tcBorders/>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 xml:space="preserve">Smaller reporting company </w:t>
            </w:r>
          </w:p>
        </w:tc>
        <w:tc>
          <w:tcPr>
            <w:tcW w:w="361" w:type="dxa"/>
            <w:tcBorders/>
            <w:vAlign w:val="center"/>
          </w:tcPr>
          <w:p>
            <w:pPr>
              <w:pStyle w:val="TableContents"/>
              <w:bidi w:val="0"/>
              <w:spacing w:before="0" w:after="0"/>
              <w:ind w:left="0" w:right="0" w:hanging="0"/>
              <w:jc w:val="right"/>
              <w:rPr/>
            </w:pPr>
            <w:r>
              <w:rPr/>
              <w:t>☐</w:t>
            </w:r>
          </w:p>
        </w:tc>
      </w:tr>
      <w:tr>
        <w:trPr/>
        <w:tc>
          <w:tcPr>
            <w:tcW w:w="2536" w:type="dxa"/>
            <w:tcBorders/>
            <w:vAlign w:val="center"/>
          </w:tcPr>
          <w:p>
            <w:pPr>
              <w:pStyle w:val="TableContents"/>
              <w:bidi w:val="0"/>
              <w:spacing w:before="0" w:after="0"/>
              <w:ind w:left="0" w:right="0" w:hanging="0"/>
              <w:jc w:val="both"/>
              <w:rPr>
                <w:rFonts w:ascii="Times New Roman;Times;serif" w:hAnsi="Times New Roman;Times;serif"/>
                <w:b/>
                <w:sz w:val="20"/>
              </w:rPr>
            </w:pPr>
            <w:r>
              <w:rPr>
                <w:rFonts w:ascii="Times New Roman;Times;serif" w:hAnsi="Times New Roman;Times;serif"/>
                <w:b/>
                <w:sz w:val="20"/>
              </w:rPr>
              <w:t>Emerging growth company  </w:t>
            </w:r>
          </w:p>
        </w:tc>
        <w:tc>
          <w:tcPr>
            <w:tcW w:w="316" w:type="dxa"/>
            <w:tcBorders/>
            <w:vAlign w:val="center"/>
          </w:tcPr>
          <w:p>
            <w:pPr>
              <w:pStyle w:val="TableContents"/>
              <w:bidi w:val="0"/>
              <w:spacing w:before="0" w:after="0"/>
              <w:ind w:left="0" w:right="0" w:hanging="0"/>
              <w:jc w:val="both"/>
              <w:rPr/>
            </w:pPr>
            <w:r>
              <w:rPr/>
              <w:t>☐</w:t>
            </w:r>
          </w:p>
        </w:tc>
        <w:tc>
          <w:tcPr>
            <w:tcW w:w="2506" w:type="dxa"/>
            <w:tcBorders/>
            <w:vAlign w:val="center"/>
          </w:tcPr>
          <w:p>
            <w:pPr>
              <w:pStyle w:val="TableContents"/>
              <w:bidi w:val="0"/>
              <w:spacing w:before="0" w:after="0"/>
              <w:ind w:left="0" w:right="0" w:hanging="0"/>
              <w:jc w:val="right"/>
              <w:rPr/>
            </w:pPr>
            <w:r>
              <w:rPr/>
              <w:t>​</w:t>
            </w:r>
          </w:p>
        </w:tc>
        <w:tc>
          <w:tcPr>
            <w:tcW w:w="361" w:type="dxa"/>
            <w:tcBorders/>
            <w:vAlign w:val="center"/>
          </w:tcPr>
          <w:p>
            <w:pPr>
              <w:pStyle w:val="TableContents"/>
              <w:bidi w:val="0"/>
              <w:spacing w:before="0" w:after="0"/>
              <w:ind w:left="0" w:right="0" w:hanging="0"/>
              <w:jc w:val="right"/>
              <w:rPr/>
            </w:pPr>
            <w:r>
              <w:rPr/>
              <w:t>​</w:t>
            </w:r>
          </w:p>
        </w:tc>
      </w:tr>
    </w:tbl>
    <w:p>
      <w:pPr>
        <w:pStyle w:val="TextBody"/>
        <w:bidi w:val="0"/>
        <w:spacing w:lineRule="auto" w:line="144" w:before="0" w:after="0"/>
        <w:ind w:left="0" w:right="0" w:hanging="0"/>
        <w:jc w:val="left"/>
        <w:rPr/>
      </w:pPr>
      <w:r>
        <w:rPr/>
        <w:t>​</w:t>
      </w:r>
    </w:p>
    <w:p>
      <w:pPr>
        <w:pStyle w:val="TextBody"/>
        <w:bidi w:val="0"/>
        <w:spacing w:before="0" w:after="80"/>
        <w:ind w:left="0" w:right="0" w:hanging="0"/>
        <w:jc w:val="both"/>
        <w:rPr>
          <w:rFonts w:ascii="Times New Roman;Times;serif" w:hAnsi="Times New Roman;Times;serif"/>
          <w:sz w:val="18"/>
        </w:rPr>
      </w:pPr>
      <w:r>
        <w:rPr>
          <w:rFonts w:ascii="Times New Roman;Times;serif" w:hAnsi="Times New Roman;Times;serif"/>
          <w:b/>
          <w:sz w:val="18"/>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Times New Roman;Times;serif" w:hAnsi="Times New Roman;Times;serif"/>
          <w:sz w:val="18"/>
        </w:rPr>
        <w:t>☐</w:t>
      </w:r>
    </w:p>
    <w:p>
      <w:pPr>
        <w:pStyle w:val="TextBody"/>
        <w:bidi w:val="0"/>
        <w:spacing w:before="0" w:after="80"/>
        <w:ind w:left="0" w:right="0" w:hanging="0"/>
        <w:jc w:val="both"/>
        <w:rPr>
          <w:rFonts w:ascii="Times New Roman;Times;serif" w:hAnsi="Times New Roman;Times;serif"/>
          <w:sz w:val="20"/>
        </w:rPr>
      </w:pPr>
      <w:r>
        <w:rPr>
          <w:rFonts w:ascii="Times New Roman;Times;serif" w:hAnsi="Times New Roman;Times;serif"/>
          <w:b/>
          <w:sz w:val="18"/>
        </w:rPr>
        <w:t>Indicate by check mark whether the registrant is a shell company (as defined in Rule 12b-2 of the Act).   Yes  </w:t>
      </w:r>
      <w:r>
        <w:rPr>
          <w:rFonts w:ascii="Times New Roman;Times;serif" w:hAnsi="Times New Roman;Times;serif"/>
          <w:sz w:val="20"/>
        </w:rPr>
        <w:t>☐    </w:t>
      </w:r>
      <w:r>
        <w:rPr>
          <w:rFonts w:ascii="Times New Roman;Times;serif" w:hAnsi="Times New Roman;Times;serif"/>
          <w:b/>
          <w:sz w:val="18"/>
        </w:rPr>
        <w:t>No  </w:t>
      </w:r>
      <w:r>
        <w:rPr>
          <w:rFonts w:ascii="Times New Roman;Times;serif" w:hAnsi="Times New Roman;Times;serif"/>
          <w:sz w:val="20"/>
        </w:rPr>
        <w:t>☒</w:t>
      </w:r>
    </w:p>
    <w:p>
      <w:pPr>
        <w:pStyle w:val="TextBody"/>
        <w:bidi w:val="0"/>
        <w:spacing w:before="0" w:after="80"/>
        <w:ind w:left="0" w:right="0" w:firstLine="360"/>
        <w:jc w:val="both"/>
        <w:rPr>
          <w:rFonts w:ascii="Times New Roman;Times;serif" w:hAnsi="Times New Roman;Times;serif"/>
          <w:b/>
          <w:sz w:val="18"/>
        </w:rPr>
      </w:pPr>
      <w:r>
        <w:rPr>
          <w:rFonts w:ascii="Times New Roman;Times;serif" w:hAnsi="Times New Roman;Times;serif"/>
          <w:b/>
          <w:sz w:val="18"/>
        </w:rPr>
        <w:t>Number of shares of the registrant’s common stock, $.125 par value per share, outstanding on May 1, 2026  48,862,734.</w:t>
      </w:r>
    </w:p>
    <w:p>
      <w:pPr>
        <w:pStyle w:val="TextBody"/>
        <w:pBdr>
          <w:top w:val="single" w:sz="8" w:space="1" w:color="000000"/>
          <w:bottom w:val="single" w:sz="24" w:space="1" w:color="000000"/>
        </w:pBdr>
        <w:bidi w:val="0"/>
        <w:spacing w:before="0" w:after="240"/>
        <w:ind w:left="0" w:right="0" w:hanging="0"/>
        <w:jc w:val="both"/>
        <w:rPr/>
      </w:pPr>
      <w:r>
        <w:rPr/>
        <w:t>​</w:t>
      </w:r>
    </w:p>
    <w:p>
      <w:pPr>
        <w:pStyle w:val="TextBody"/>
        <w:bidi w:val="0"/>
        <w:spacing w:before="0" w:after="0"/>
        <w:ind w:left="0" w:right="0" w:hanging="0"/>
        <w:jc w:val="left"/>
        <w:rPr/>
      </w:pPr>
      <w:r>
        <w:rPr/>
        <w:t>​</w:t>
      </w:r>
    </w:p>
    <w:p>
      <w:pPr>
        <w:pStyle w:val="TextBody"/>
        <w:bidi w:val="0"/>
        <w:spacing w:before="0" w:after="0"/>
        <w:ind w:left="0" w:right="0" w:hanging="0"/>
        <w:jc w:val="center"/>
        <w:rPr/>
      </w:pPr>
      <w:r>
        <w:rPr/>
        <w:t>​</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NL INDUSTRIES, INC. AND SUBSIDIARIES</w:t>
      </w:r>
    </w:p>
    <w:p>
      <w:pPr>
        <w:pStyle w:val="TextBody"/>
        <w:bidi w:val="0"/>
        <w:spacing w:before="0" w:after="0"/>
        <w:ind w:left="0" w:right="0" w:hanging="0"/>
        <w:jc w:val="center"/>
        <w:rPr>
          <w:rFonts w:ascii="Times New Roman;Times;serif" w:hAnsi="Times New Roman;Times;serif"/>
          <w:b/>
          <w:sz w:val="20"/>
        </w:rPr>
      </w:pPr>
      <w:bookmarkStart w:id="33" w:name="TOC"/>
      <w:bookmarkStart w:id="34" w:name="_1d8b4a31_c8e7_4e70_ab54_8675de2fc0a6"/>
      <w:bookmarkEnd w:id="33"/>
      <w:bookmarkEnd w:id="34"/>
      <w:r>
        <w:rPr>
          <w:rFonts w:ascii="Times New Roman;Times;serif" w:hAnsi="Times New Roman;Times;serif"/>
          <w:b/>
          <w:sz w:val="20"/>
        </w:rPr>
        <w:t>INDEX</w:t>
      </w:r>
    </w:p>
    <w:tbl>
      <w:tblPr>
        <w:tblW w:w="8988" w:type="dxa"/>
        <w:jc w:val="left"/>
        <w:tblInd w:w="0" w:type="dxa"/>
        <w:tblLayout w:type="fixed"/>
        <w:tblCellMar>
          <w:top w:w="0" w:type="dxa"/>
          <w:left w:w="0" w:type="dxa"/>
          <w:bottom w:w="0" w:type="dxa"/>
          <w:right w:w="0" w:type="dxa"/>
        </w:tblCellMar>
      </w:tblPr>
      <w:tblGrid>
        <w:gridCol w:w="811"/>
        <w:gridCol w:w="7366"/>
        <w:gridCol w:w="811"/>
      </w:tblGrid>
      <w:tr>
        <w:trPr/>
        <w:tc>
          <w:tcPr>
            <w:tcW w:w="811" w:type="dxa"/>
            <w:tcBorders/>
            <w:vAlign w:val="center"/>
          </w:tcPr>
          <w:p>
            <w:pPr>
              <w:pStyle w:val="TableContents"/>
              <w:pBdr/>
              <w:bidi w:val="0"/>
              <w:spacing w:before="0" w:after="0"/>
              <w:ind w:left="0" w:right="0" w:hanging="0"/>
              <w:jc w:val="left"/>
              <w:rPr/>
            </w:pPr>
            <w:r>
              <w:rPr/>
              <w:t>​</w:t>
            </w:r>
          </w:p>
        </w:tc>
        <w:tc>
          <w:tcPr>
            <w:tcW w:w="7366" w:type="dxa"/>
            <w:tcBorders/>
            <w:vAlign w:val="center"/>
          </w:tcPr>
          <w:p>
            <w:pPr>
              <w:pStyle w:val="TableContents"/>
              <w:bidi w:val="0"/>
              <w:spacing w:before="0" w:after="0"/>
              <w:ind w:left="0" w:right="0" w:hanging="0"/>
              <w:jc w:val="left"/>
              <w:rPr/>
            </w:pPr>
            <w:r>
              <w:rPr/>
              <w:t>​</w:t>
            </w:r>
          </w:p>
        </w:tc>
        <w:tc>
          <w:tcPr>
            <w:tcW w:w="81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b/>
                <w:sz w:val="20"/>
              </w:rPr>
              <w:t>Page</w:t>
            </w:r>
            <w:r>
              <w:rPr>
                <w:rFonts w:ascii="Times New Roman;Times;serif" w:hAnsi="Times New Roman;Times;serif"/>
                <w:sz w:val="20"/>
              </w:rPr>
              <w:t xml:space="preserve"> </w:t>
              <w:br/>
            </w:r>
            <w:r>
              <w:rPr>
                <w:rFonts w:ascii="Times New Roman;Times;serif" w:hAnsi="Times New Roman;Times;serif"/>
                <w:b/>
                <w:sz w:val="20"/>
              </w:rPr>
              <w:t>number</w:t>
            </w:r>
          </w:p>
        </w:tc>
      </w:tr>
      <w:tr>
        <w:trPr/>
        <w:tc>
          <w:tcPr>
            <w:tcW w:w="811" w:type="dxa"/>
            <w:tcBorders/>
            <w:vAlign w:val="center"/>
          </w:tcPr>
          <w:p>
            <w:pPr>
              <w:pStyle w:val="TableContents"/>
              <w:pBdr/>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Part I.</w:t>
            </w:r>
          </w:p>
        </w:tc>
        <w:tc>
          <w:tcPr>
            <w:tcW w:w="7366"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FINANCIAL INFORMATION</w:t>
            </w:r>
          </w:p>
        </w:tc>
        <w:tc>
          <w:tcPr>
            <w:tcW w:w="811" w:type="dxa"/>
            <w:tcBorders>
              <w:top w:val="single" w:sz="2" w:space="0" w:color="000000"/>
            </w:tcBorders>
            <w:tcMar>
              <w:top w:w="28" w:type="dxa"/>
            </w:tcMar>
            <w:vAlign w:val="center"/>
          </w:tcPr>
          <w:p>
            <w:pPr>
              <w:pStyle w:val="TableContents"/>
              <w:bidi w:val="0"/>
              <w:spacing w:before="0" w:after="0"/>
              <w:ind w:left="0" w:right="0" w:hanging="0"/>
              <w:jc w:val="right"/>
              <w:rPr/>
            </w:pPr>
            <w:r>
              <w:rPr/>
              <w:t>​</w:t>
            </w:r>
          </w:p>
        </w:tc>
      </w:tr>
      <w:tr>
        <w:trPr/>
        <w:tc>
          <w:tcPr>
            <w:tcW w:w="811" w:type="dxa"/>
            <w:tcBorders/>
            <w:vAlign w:val="center"/>
          </w:tcPr>
          <w:p>
            <w:pPr>
              <w:pStyle w:val="TableContents"/>
              <w:bidi w:val="0"/>
              <w:spacing w:before="0" w:after="0"/>
              <w:ind w:left="0" w:right="0" w:hanging="0"/>
              <w:jc w:val="left"/>
              <w:rPr/>
            </w:pPr>
            <w:r>
              <w:rPr/>
              <w:t>​</w:t>
            </w:r>
          </w:p>
        </w:tc>
        <w:tc>
          <w:tcPr>
            <w:tcW w:w="7366" w:type="dxa"/>
            <w:tcBorders/>
            <w:vAlign w:val="center"/>
          </w:tcPr>
          <w:p>
            <w:pPr>
              <w:pStyle w:val="TableContents"/>
              <w:bidi w:val="0"/>
              <w:spacing w:before="0" w:after="0"/>
              <w:ind w:left="0" w:right="0" w:hanging="0"/>
              <w:jc w:val="left"/>
              <w:rPr/>
            </w:pPr>
            <w:r>
              <w:rPr/>
              <w:t>​</w:t>
            </w:r>
          </w:p>
        </w:tc>
        <w:tc>
          <w:tcPr>
            <w:tcW w:w="811" w:type="dxa"/>
            <w:tcBorders/>
            <w:vAlign w:val="center"/>
          </w:tcPr>
          <w:p>
            <w:pPr>
              <w:pStyle w:val="TableContents"/>
              <w:bidi w:val="0"/>
              <w:spacing w:before="0" w:after="0"/>
              <w:ind w:left="0" w:right="0" w:hanging="0"/>
              <w:jc w:val="right"/>
              <w:rPr/>
            </w:pPr>
            <w:r>
              <w:rPr/>
              <w:t>​</w:t>
            </w:r>
          </w:p>
        </w:tc>
      </w:tr>
      <w:tr>
        <w:trPr/>
        <w:tc>
          <w:tcPr>
            <w:tcW w:w="811"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Item 1.</w:t>
            </w:r>
          </w:p>
        </w:tc>
        <w:tc>
          <w:tcPr>
            <w:tcW w:w="736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Financial Statements</w:t>
            </w:r>
          </w:p>
        </w:tc>
        <w:tc>
          <w:tcPr>
            <w:tcW w:w="811" w:type="dxa"/>
            <w:tcBorders/>
            <w:vAlign w:val="center"/>
          </w:tcPr>
          <w:p>
            <w:pPr>
              <w:pStyle w:val="TableContents"/>
              <w:bidi w:val="0"/>
              <w:spacing w:before="0" w:after="0"/>
              <w:ind w:left="0" w:right="0" w:hanging="0"/>
              <w:jc w:val="right"/>
              <w:rPr/>
            </w:pPr>
            <w:r>
              <w:rPr/>
              <w:t>​</w:t>
            </w:r>
          </w:p>
        </w:tc>
      </w:tr>
      <w:tr>
        <w:trPr/>
        <w:tc>
          <w:tcPr>
            <w:tcW w:w="811" w:type="dxa"/>
            <w:tcBorders/>
            <w:vAlign w:val="center"/>
          </w:tcPr>
          <w:p>
            <w:pPr>
              <w:pStyle w:val="TableContents"/>
              <w:bidi w:val="0"/>
              <w:spacing w:before="0" w:after="0"/>
              <w:ind w:left="0" w:right="0" w:hanging="0"/>
              <w:jc w:val="left"/>
              <w:rPr/>
            </w:pPr>
            <w:r>
              <w:rPr/>
              <w:t>​</w:t>
            </w:r>
          </w:p>
        </w:tc>
        <w:tc>
          <w:tcPr>
            <w:tcW w:w="7366" w:type="dxa"/>
            <w:tcBorders/>
            <w:vAlign w:val="center"/>
          </w:tcPr>
          <w:p>
            <w:pPr>
              <w:pStyle w:val="TableContents"/>
              <w:bidi w:val="0"/>
              <w:spacing w:before="0" w:after="0"/>
              <w:ind w:left="0" w:right="0" w:hanging="0"/>
              <w:jc w:val="left"/>
              <w:rPr/>
            </w:pPr>
            <w:r>
              <w:rPr/>
              <w:t>​</w:t>
            </w:r>
          </w:p>
        </w:tc>
        <w:tc>
          <w:tcPr>
            <w:tcW w:w="811" w:type="dxa"/>
            <w:tcBorders/>
            <w:vAlign w:val="center"/>
          </w:tcPr>
          <w:p>
            <w:pPr>
              <w:pStyle w:val="TableContents"/>
              <w:bidi w:val="0"/>
              <w:spacing w:before="0" w:after="0"/>
              <w:ind w:left="0" w:right="0" w:hanging="0"/>
              <w:jc w:val="right"/>
              <w:rPr/>
            </w:pPr>
            <w:r>
              <w:rPr/>
              <w:t>​</w:t>
            </w:r>
          </w:p>
        </w:tc>
      </w:tr>
      <w:tr>
        <w:trPr/>
        <w:tc>
          <w:tcPr>
            <w:tcW w:w="811" w:type="dxa"/>
            <w:tcBorders/>
            <w:vAlign w:val="center"/>
          </w:tcPr>
          <w:p>
            <w:pPr>
              <w:pStyle w:val="TableContents"/>
              <w:bidi w:val="0"/>
              <w:spacing w:before="0" w:after="0"/>
              <w:ind w:left="0" w:right="0" w:hanging="0"/>
              <w:jc w:val="left"/>
              <w:rPr/>
            </w:pPr>
            <w:r>
              <w:rPr/>
              <w:t>​</w:t>
            </w:r>
          </w:p>
        </w:tc>
        <w:tc>
          <w:tcPr>
            <w:tcW w:w="7366" w:type="dxa"/>
            <w:tcBorders/>
            <w:vAlign w:val="center"/>
          </w:tcPr>
          <w:p>
            <w:pPr>
              <w:pStyle w:val="TableContents"/>
              <w:pBdr/>
              <w:bidi w:val="0"/>
              <w:spacing w:before="0" w:after="0"/>
              <w:ind w:left="0" w:right="0" w:hanging="0"/>
              <w:jc w:val="left"/>
              <w:rPr/>
            </w:pPr>
            <w:hyperlink w:anchor="CONDENSEDCONSOLIDATEDBALANCESHEETS_33356">
              <w:r>
                <w:rPr>
                  <w:rStyle w:val="InternetLink"/>
                  <w:rFonts w:ascii="Times New Roman;Times;serif" w:hAnsi="Times New Roman;Times;serif"/>
                  <w:b w:val="false"/>
                  <w:i w:val="false"/>
                  <w:caps w:val="false"/>
                  <w:smallCaps w:val="false"/>
                  <w:sz w:val="20"/>
                </w:rPr>
                <w:t xml:space="preserve">Condensed Consolidated Balance Sheets - </w:t>
                <w:br/>
                <w:t>December 31, 2025; March 31, 2026 (unaudited)</w:t>
              </w:r>
            </w:hyperlink>
          </w:p>
        </w:tc>
        <w:tc>
          <w:tcPr>
            <w:tcW w:w="81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w:t>
            </w:r>
          </w:p>
        </w:tc>
      </w:tr>
      <w:tr>
        <w:trPr/>
        <w:tc>
          <w:tcPr>
            <w:tcW w:w="811" w:type="dxa"/>
            <w:tcBorders/>
            <w:vAlign w:val="center"/>
          </w:tcPr>
          <w:p>
            <w:pPr>
              <w:pStyle w:val="TableContents"/>
              <w:bidi w:val="0"/>
              <w:spacing w:before="0" w:after="0"/>
              <w:ind w:left="0" w:right="0" w:hanging="0"/>
              <w:jc w:val="left"/>
              <w:rPr/>
            </w:pPr>
            <w:r>
              <w:rPr/>
              <w:t>​</w:t>
            </w:r>
          </w:p>
        </w:tc>
        <w:tc>
          <w:tcPr>
            <w:tcW w:w="7366" w:type="dxa"/>
            <w:tcBorders/>
            <w:vAlign w:val="center"/>
          </w:tcPr>
          <w:p>
            <w:pPr>
              <w:pStyle w:val="TableContents"/>
              <w:bidi w:val="0"/>
              <w:spacing w:before="0" w:after="0"/>
              <w:ind w:left="0" w:right="0" w:hanging="0"/>
              <w:jc w:val="left"/>
              <w:rPr/>
            </w:pPr>
            <w:r>
              <w:rPr/>
              <w:t>​</w:t>
            </w:r>
          </w:p>
        </w:tc>
        <w:tc>
          <w:tcPr>
            <w:tcW w:w="811" w:type="dxa"/>
            <w:tcBorders/>
            <w:vAlign w:val="center"/>
          </w:tcPr>
          <w:p>
            <w:pPr>
              <w:pStyle w:val="TableContents"/>
              <w:bidi w:val="0"/>
              <w:spacing w:before="0" w:after="0"/>
              <w:ind w:left="0" w:right="0" w:hanging="0"/>
              <w:jc w:val="right"/>
              <w:rPr/>
            </w:pPr>
            <w:r>
              <w:rPr/>
              <w:t>​</w:t>
            </w:r>
          </w:p>
        </w:tc>
      </w:tr>
      <w:tr>
        <w:trPr/>
        <w:tc>
          <w:tcPr>
            <w:tcW w:w="811" w:type="dxa"/>
            <w:tcBorders/>
            <w:vAlign w:val="center"/>
          </w:tcPr>
          <w:p>
            <w:pPr>
              <w:pStyle w:val="TableContents"/>
              <w:bidi w:val="0"/>
              <w:spacing w:before="0" w:after="0"/>
              <w:ind w:left="0" w:right="0" w:hanging="0"/>
              <w:jc w:val="left"/>
              <w:rPr/>
            </w:pPr>
            <w:r>
              <w:rPr/>
              <w:t>​</w:t>
            </w:r>
          </w:p>
        </w:tc>
        <w:tc>
          <w:tcPr>
            <w:tcW w:w="7366" w:type="dxa"/>
            <w:tcBorders/>
            <w:vAlign w:val="center"/>
          </w:tcPr>
          <w:p>
            <w:pPr>
              <w:pStyle w:val="TableContents"/>
              <w:pBdr/>
              <w:bidi w:val="0"/>
              <w:spacing w:before="0" w:after="0"/>
              <w:ind w:left="0" w:right="0" w:hanging="0"/>
              <w:jc w:val="left"/>
              <w:rPr/>
            </w:pPr>
            <w:hyperlink w:anchor="CONDENSEDCONSOLIDATEDSTATEMENTOFOPERATIO">
              <w:r>
                <w:rPr>
                  <w:rStyle w:val="InternetLink"/>
                  <w:rFonts w:ascii="Times New Roman;Times;serif" w:hAnsi="Times New Roman;Times;serif"/>
                  <w:b w:val="false"/>
                  <w:i w:val="false"/>
                  <w:caps w:val="false"/>
                  <w:smallCaps w:val="false"/>
                  <w:sz w:val="20"/>
                </w:rPr>
                <w:t xml:space="preserve">Condensed Consolidated Statements of Income (unaudited) - </w:t>
                <w:br/>
                <w:t>Three months ended March 31, 2025 and 2026</w:t>
              </w:r>
            </w:hyperlink>
          </w:p>
        </w:tc>
        <w:tc>
          <w:tcPr>
            <w:tcW w:w="81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w:t>
            </w:r>
          </w:p>
        </w:tc>
      </w:tr>
      <w:tr>
        <w:trPr/>
        <w:tc>
          <w:tcPr>
            <w:tcW w:w="811" w:type="dxa"/>
            <w:tcBorders/>
            <w:vAlign w:val="center"/>
          </w:tcPr>
          <w:p>
            <w:pPr>
              <w:pStyle w:val="TableContents"/>
              <w:bidi w:val="0"/>
              <w:spacing w:before="0" w:after="0"/>
              <w:ind w:left="0" w:right="0" w:hanging="0"/>
              <w:jc w:val="left"/>
              <w:rPr/>
            </w:pPr>
            <w:r>
              <w:rPr/>
              <w:t>​</w:t>
            </w:r>
          </w:p>
        </w:tc>
        <w:tc>
          <w:tcPr>
            <w:tcW w:w="7366" w:type="dxa"/>
            <w:tcBorders/>
            <w:vAlign w:val="center"/>
          </w:tcPr>
          <w:p>
            <w:pPr>
              <w:pStyle w:val="TableContents"/>
              <w:bidi w:val="0"/>
              <w:spacing w:before="0" w:after="0"/>
              <w:ind w:left="0" w:right="0" w:hanging="0"/>
              <w:jc w:val="left"/>
              <w:rPr/>
            </w:pPr>
            <w:r>
              <w:rPr/>
              <w:t>​</w:t>
            </w:r>
          </w:p>
        </w:tc>
        <w:tc>
          <w:tcPr>
            <w:tcW w:w="811" w:type="dxa"/>
            <w:tcBorders/>
            <w:vAlign w:val="center"/>
          </w:tcPr>
          <w:p>
            <w:pPr>
              <w:pStyle w:val="TableContents"/>
              <w:bidi w:val="0"/>
              <w:spacing w:before="0" w:after="0"/>
              <w:ind w:left="0" w:right="0" w:hanging="0"/>
              <w:jc w:val="right"/>
              <w:rPr/>
            </w:pPr>
            <w:r>
              <w:rPr/>
              <w:t>​</w:t>
            </w:r>
          </w:p>
        </w:tc>
      </w:tr>
      <w:tr>
        <w:trPr/>
        <w:tc>
          <w:tcPr>
            <w:tcW w:w="811" w:type="dxa"/>
            <w:tcBorders/>
            <w:vAlign w:val="center"/>
          </w:tcPr>
          <w:p>
            <w:pPr>
              <w:pStyle w:val="TableContents"/>
              <w:bidi w:val="0"/>
              <w:spacing w:before="0" w:after="0"/>
              <w:ind w:left="0" w:right="0" w:hanging="0"/>
              <w:jc w:val="left"/>
              <w:rPr/>
            </w:pPr>
            <w:r>
              <w:rPr/>
              <w:t>​</w:t>
            </w:r>
          </w:p>
        </w:tc>
        <w:tc>
          <w:tcPr>
            <w:tcW w:w="7366" w:type="dxa"/>
            <w:tcBorders/>
            <w:vAlign w:val="center"/>
          </w:tcPr>
          <w:p>
            <w:pPr>
              <w:pStyle w:val="TableContents"/>
              <w:pBdr/>
              <w:bidi w:val="0"/>
              <w:spacing w:before="0" w:after="0"/>
              <w:ind w:left="0" w:right="0" w:hanging="0"/>
              <w:jc w:val="left"/>
              <w:rPr/>
            </w:pPr>
            <w:hyperlink w:anchor="CONDENSEDCONSOLIDATEDSTATEMENTSOFCOMPREH">
              <w:r>
                <w:rPr>
                  <w:rStyle w:val="InternetLink"/>
                  <w:rFonts w:ascii="Times New Roman;Times;serif" w:hAnsi="Times New Roman;Times;serif"/>
                  <w:b w:val="false"/>
                  <w:i w:val="false"/>
                  <w:caps w:val="false"/>
                  <w:smallCaps w:val="false"/>
                  <w:sz w:val="20"/>
                </w:rPr>
                <w:t xml:space="preserve">Condensed Consolidated Statements of Comprehensive Income (unaudited) - </w:t>
                <w:br/>
                <w:t>Three months ended March 31, 2025 and 2026</w:t>
              </w:r>
            </w:hyperlink>
          </w:p>
        </w:tc>
        <w:tc>
          <w:tcPr>
            <w:tcW w:w="81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w:t>
            </w:r>
          </w:p>
        </w:tc>
      </w:tr>
      <w:tr>
        <w:trPr/>
        <w:tc>
          <w:tcPr>
            <w:tcW w:w="811" w:type="dxa"/>
            <w:tcBorders/>
            <w:vAlign w:val="center"/>
          </w:tcPr>
          <w:p>
            <w:pPr>
              <w:pStyle w:val="TableContents"/>
              <w:bidi w:val="0"/>
              <w:spacing w:before="0" w:after="0"/>
              <w:ind w:left="0" w:right="0" w:hanging="0"/>
              <w:jc w:val="left"/>
              <w:rPr/>
            </w:pPr>
            <w:r>
              <w:rPr/>
              <w:t>​</w:t>
            </w:r>
          </w:p>
        </w:tc>
        <w:tc>
          <w:tcPr>
            <w:tcW w:w="7366" w:type="dxa"/>
            <w:tcBorders/>
            <w:vAlign w:val="center"/>
          </w:tcPr>
          <w:p>
            <w:pPr>
              <w:pStyle w:val="TableContents"/>
              <w:bidi w:val="0"/>
              <w:spacing w:before="0" w:after="0"/>
              <w:ind w:left="0" w:right="0" w:hanging="0"/>
              <w:jc w:val="left"/>
              <w:rPr/>
            </w:pPr>
            <w:r>
              <w:rPr/>
              <w:t>​</w:t>
            </w:r>
          </w:p>
        </w:tc>
        <w:tc>
          <w:tcPr>
            <w:tcW w:w="811" w:type="dxa"/>
            <w:tcBorders/>
            <w:vAlign w:val="center"/>
          </w:tcPr>
          <w:p>
            <w:pPr>
              <w:pStyle w:val="TableContents"/>
              <w:bidi w:val="0"/>
              <w:spacing w:before="0" w:after="0"/>
              <w:ind w:left="0" w:right="0" w:hanging="0"/>
              <w:jc w:val="right"/>
              <w:rPr/>
            </w:pPr>
            <w:r>
              <w:rPr/>
              <w:t>​</w:t>
            </w:r>
          </w:p>
        </w:tc>
      </w:tr>
      <w:tr>
        <w:trPr/>
        <w:tc>
          <w:tcPr>
            <w:tcW w:w="811" w:type="dxa"/>
            <w:tcBorders/>
            <w:vAlign w:val="center"/>
          </w:tcPr>
          <w:p>
            <w:pPr>
              <w:pStyle w:val="TableContents"/>
              <w:bidi w:val="0"/>
              <w:spacing w:before="0" w:after="0"/>
              <w:ind w:left="0" w:right="0" w:hanging="0"/>
              <w:jc w:val="left"/>
              <w:rPr/>
            </w:pPr>
            <w:r>
              <w:rPr/>
              <w:t>​</w:t>
            </w:r>
          </w:p>
        </w:tc>
        <w:tc>
          <w:tcPr>
            <w:tcW w:w="7366" w:type="dxa"/>
            <w:tcBorders/>
            <w:vAlign w:val="center"/>
          </w:tcPr>
          <w:p>
            <w:pPr>
              <w:pStyle w:val="TableContents"/>
              <w:pBdr/>
              <w:bidi w:val="0"/>
              <w:spacing w:before="0" w:after="0"/>
              <w:ind w:left="0" w:right="0" w:hanging="0"/>
              <w:jc w:val="left"/>
              <w:rPr/>
            </w:pPr>
            <w:hyperlink w:anchor="CONDENSEDCONSOLIDATEDSTATEMENTSOFEQUITY">
              <w:r>
                <w:rPr>
                  <w:rStyle w:val="InternetLink"/>
                  <w:rFonts w:ascii="Times New Roman;Times;serif" w:hAnsi="Times New Roman;Times;serif"/>
                  <w:b w:val="false"/>
                  <w:i w:val="false"/>
                  <w:caps w:val="false"/>
                  <w:smallCaps w:val="false"/>
                  <w:sz w:val="20"/>
                </w:rPr>
                <w:t xml:space="preserve">Condensed Consolidated Statements of Equity (unaudited) - </w:t>
                <w:br/>
                <w:t>Three months ended March 31, 2025 and 2026</w:t>
              </w:r>
            </w:hyperlink>
          </w:p>
        </w:tc>
        <w:tc>
          <w:tcPr>
            <w:tcW w:w="81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w:t>
            </w:r>
          </w:p>
        </w:tc>
      </w:tr>
      <w:tr>
        <w:trPr/>
        <w:tc>
          <w:tcPr>
            <w:tcW w:w="811" w:type="dxa"/>
            <w:tcBorders/>
            <w:vAlign w:val="center"/>
          </w:tcPr>
          <w:p>
            <w:pPr>
              <w:pStyle w:val="TableContents"/>
              <w:bidi w:val="0"/>
              <w:spacing w:before="0" w:after="0"/>
              <w:ind w:left="0" w:right="0" w:hanging="0"/>
              <w:jc w:val="left"/>
              <w:rPr/>
            </w:pPr>
            <w:r>
              <w:rPr/>
              <w:t>​</w:t>
            </w:r>
          </w:p>
        </w:tc>
        <w:tc>
          <w:tcPr>
            <w:tcW w:w="7366" w:type="dxa"/>
            <w:tcBorders/>
            <w:vAlign w:val="center"/>
          </w:tcPr>
          <w:p>
            <w:pPr>
              <w:pStyle w:val="TableContents"/>
              <w:bidi w:val="0"/>
              <w:spacing w:before="0" w:after="0"/>
              <w:ind w:left="0" w:right="0" w:hanging="0"/>
              <w:jc w:val="left"/>
              <w:rPr/>
            </w:pPr>
            <w:r>
              <w:rPr/>
              <w:t>​</w:t>
            </w:r>
          </w:p>
        </w:tc>
        <w:tc>
          <w:tcPr>
            <w:tcW w:w="811" w:type="dxa"/>
            <w:tcBorders/>
            <w:vAlign w:val="center"/>
          </w:tcPr>
          <w:p>
            <w:pPr>
              <w:pStyle w:val="TableContents"/>
              <w:bidi w:val="0"/>
              <w:spacing w:before="0" w:after="0"/>
              <w:ind w:left="0" w:right="0" w:hanging="0"/>
              <w:jc w:val="right"/>
              <w:rPr/>
            </w:pPr>
            <w:r>
              <w:rPr/>
              <w:t>​</w:t>
            </w:r>
          </w:p>
        </w:tc>
      </w:tr>
      <w:tr>
        <w:trPr/>
        <w:tc>
          <w:tcPr>
            <w:tcW w:w="811" w:type="dxa"/>
            <w:tcBorders/>
            <w:vAlign w:val="center"/>
          </w:tcPr>
          <w:p>
            <w:pPr>
              <w:pStyle w:val="TableContents"/>
              <w:bidi w:val="0"/>
              <w:spacing w:before="0" w:after="0"/>
              <w:ind w:left="0" w:right="0" w:hanging="0"/>
              <w:jc w:val="left"/>
              <w:rPr/>
            </w:pPr>
            <w:r>
              <w:rPr/>
              <w:t>​</w:t>
            </w:r>
          </w:p>
        </w:tc>
        <w:tc>
          <w:tcPr>
            <w:tcW w:w="7366" w:type="dxa"/>
            <w:tcBorders/>
            <w:vAlign w:val="center"/>
          </w:tcPr>
          <w:p>
            <w:pPr>
              <w:pStyle w:val="TableContents"/>
              <w:pBdr/>
              <w:bidi w:val="0"/>
              <w:spacing w:before="0" w:after="0"/>
              <w:ind w:left="0" w:right="0" w:hanging="0"/>
              <w:jc w:val="left"/>
              <w:rPr/>
            </w:pPr>
            <w:hyperlink w:anchor="CONDENSEDCONSOLIDATEDSTATEMENTSOFCASHFLO">
              <w:r>
                <w:rPr>
                  <w:rStyle w:val="InternetLink"/>
                  <w:rFonts w:ascii="Times New Roman;Times;serif" w:hAnsi="Times New Roman;Times;serif"/>
                  <w:b w:val="false"/>
                  <w:i w:val="false"/>
                  <w:caps w:val="false"/>
                  <w:smallCaps w:val="false"/>
                  <w:sz w:val="20"/>
                </w:rPr>
                <w:t xml:space="preserve">Condensed Consolidated Statements of Cash Flows (unaudited) - </w:t>
                <w:br/>
                <w:t>Three months ended March 31, 2025 and 2026</w:t>
              </w:r>
            </w:hyperlink>
          </w:p>
        </w:tc>
        <w:tc>
          <w:tcPr>
            <w:tcW w:w="81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w:t>
            </w:r>
          </w:p>
        </w:tc>
      </w:tr>
      <w:tr>
        <w:trPr/>
        <w:tc>
          <w:tcPr>
            <w:tcW w:w="811" w:type="dxa"/>
            <w:tcBorders/>
            <w:vAlign w:val="center"/>
          </w:tcPr>
          <w:p>
            <w:pPr>
              <w:pStyle w:val="TableContents"/>
              <w:bidi w:val="0"/>
              <w:spacing w:before="0" w:after="0"/>
              <w:ind w:left="0" w:right="0" w:hanging="0"/>
              <w:jc w:val="left"/>
              <w:rPr/>
            </w:pPr>
            <w:r>
              <w:rPr/>
              <w:t>​</w:t>
            </w:r>
          </w:p>
        </w:tc>
        <w:tc>
          <w:tcPr>
            <w:tcW w:w="7366" w:type="dxa"/>
            <w:tcBorders/>
            <w:vAlign w:val="center"/>
          </w:tcPr>
          <w:p>
            <w:pPr>
              <w:pStyle w:val="TableContents"/>
              <w:bidi w:val="0"/>
              <w:spacing w:before="0" w:after="0"/>
              <w:ind w:left="0" w:right="0" w:hanging="0"/>
              <w:jc w:val="left"/>
              <w:rPr/>
            </w:pPr>
            <w:r>
              <w:rPr/>
              <w:t>​</w:t>
            </w:r>
          </w:p>
        </w:tc>
        <w:tc>
          <w:tcPr>
            <w:tcW w:w="811" w:type="dxa"/>
            <w:tcBorders/>
            <w:vAlign w:val="center"/>
          </w:tcPr>
          <w:p>
            <w:pPr>
              <w:pStyle w:val="TableContents"/>
              <w:bidi w:val="0"/>
              <w:spacing w:before="0" w:after="0"/>
              <w:ind w:left="0" w:right="0" w:hanging="0"/>
              <w:jc w:val="right"/>
              <w:rPr/>
            </w:pPr>
            <w:r>
              <w:rPr/>
              <w:t>​</w:t>
            </w:r>
          </w:p>
        </w:tc>
      </w:tr>
      <w:tr>
        <w:trPr/>
        <w:tc>
          <w:tcPr>
            <w:tcW w:w="811" w:type="dxa"/>
            <w:tcBorders/>
            <w:vAlign w:val="center"/>
          </w:tcPr>
          <w:p>
            <w:pPr>
              <w:pStyle w:val="TableContents"/>
              <w:bidi w:val="0"/>
              <w:spacing w:before="0" w:after="0"/>
              <w:ind w:left="0" w:right="0" w:hanging="0"/>
              <w:jc w:val="left"/>
              <w:rPr/>
            </w:pPr>
            <w:r>
              <w:rPr/>
              <w:t>​</w:t>
            </w:r>
          </w:p>
        </w:tc>
        <w:tc>
          <w:tcPr>
            <w:tcW w:w="7366" w:type="dxa"/>
            <w:tcBorders/>
            <w:vAlign w:val="center"/>
          </w:tcPr>
          <w:p>
            <w:pPr>
              <w:pStyle w:val="TableContents"/>
              <w:bidi w:val="0"/>
              <w:spacing w:before="0" w:after="0"/>
              <w:ind w:left="0" w:right="0" w:hanging="0"/>
              <w:jc w:val="left"/>
              <w:rPr/>
            </w:pPr>
            <w:hyperlink w:anchor="NOTESTOCONDENSEDCONSOLIDATEDFINANCIALSTA">
              <w:r>
                <w:rPr>
                  <w:rStyle w:val="InternetLink"/>
                  <w:rFonts w:ascii="Times New Roman;Times;serif" w:hAnsi="Times New Roman;Times;serif"/>
                  <w:b w:val="false"/>
                  <w:i w:val="false"/>
                  <w:caps w:val="false"/>
                  <w:smallCaps w:val="false"/>
                  <w:sz w:val="20"/>
                </w:rPr>
                <w:t>Notes to Condensed Consolidated Financial Statements (unaudited)</w:t>
              </w:r>
            </w:hyperlink>
          </w:p>
        </w:tc>
        <w:tc>
          <w:tcPr>
            <w:tcW w:w="81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w:t>
            </w:r>
          </w:p>
        </w:tc>
      </w:tr>
      <w:tr>
        <w:trPr/>
        <w:tc>
          <w:tcPr>
            <w:tcW w:w="811" w:type="dxa"/>
            <w:tcBorders/>
            <w:vAlign w:val="center"/>
          </w:tcPr>
          <w:p>
            <w:pPr>
              <w:pStyle w:val="TableContents"/>
              <w:bidi w:val="0"/>
              <w:spacing w:before="0" w:after="0"/>
              <w:ind w:left="0" w:right="0" w:hanging="0"/>
              <w:jc w:val="left"/>
              <w:rPr/>
            </w:pPr>
            <w:r>
              <w:rPr/>
              <w:t>​</w:t>
            </w:r>
          </w:p>
        </w:tc>
        <w:tc>
          <w:tcPr>
            <w:tcW w:w="7366" w:type="dxa"/>
            <w:tcBorders/>
            <w:vAlign w:val="center"/>
          </w:tcPr>
          <w:p>
            <w:pPr>
              <w:pStyle w:val="TableContents"/>
              <w:bidi w:val="0"/>
              <w:spacing w:before="0" w:after="0"/>
              <w:ind w:left="0" w:right="0" w:hanging="0"/>
              <w:jc w:val="left"/>
              <w:rPr/>
            </w:pPr>
            <w:r>
              <w:rPr/>
              <w:t>​</w:t>
            </w:r>
          </w:p>
        </w:tc>
        <w:tc>
          <w:tcPr>
            <w:tcW w:w="811" w:type="dxa"/>
            <w:tcBorders/>
            <w:vAlign w:val="center"/>
          </w:tcPr>
          <w:p>
            <w:pPr>
              <w:pStyle w:val="TableContents"/>
              <w:bidi w:val="0"/>
              <w:spacing w:before="0" w:after="0"/>
              <w:ind w:left="0" w:right="0" w:hanging="0"/>
              <w:jc w:val="right"/>
              <w:rPr/>
            </w:pPr>
            <w:r>
              <w:rPr/>
              <w:t>​</w:t>
            </w:r>
          </w:p>
        </w:tc>
      </w:tr>
      <w:tr>
        <w:trPr/>
        <w:tc>
          <w:tcPr>
            <w:tcW w:w="811" w:type="dxa"/>
            <w:tcBorders/>
            <w:vAlign w:val="center"/>
          </w:tcPr>
          <w:p>
            <w:pPr>
              <w:pStyle w:val="TableContents"/>
              <w:pBdr/>
              <w:bidi w:val="0"/>
              <w:spacing w:before="0" w:after="0"/>
              <w:ind w:left="0" w:right="0" w:hanging="0"/>
              <w:jc w:val="left"/>
              <w:rPr/>
            </w:pPr>
            <w:hyperlink w:anchor="ITEM2MANAGEMENTSDISCUSSIONANDANALYSISOFF">
              <w:r>
                <w:rPr>
                  <w:rStyle w:val="InternetLink"/>
                  <w:rFonts w:ascii="Times New Roman;Times;serif" w:hAnsi="Times New Roman;Times;serif"/>
                  <w:b w:val="false"/>
                  <w:i w:val="false"/>
                  <w:caps w:val="false"/>
                  <w:smallCaps w:val="false"/>
                  <w:sz w:val="20"/>
                </w:rPr>
                <w:t>Item 2.</w:t>
              </w:r>
            </w:hyperlink>
          </w:p>
        </w:tc>
        <w:tc>
          <w:tcPr>
            <w:tcW w:w="7366" w:type="dxa"/>
            <w:tcBorders/>
            <w:vAlign w:val="center"/>
          </w:tcPr>
          <w:p>
            <w:pPr>
              <w:pStyle w:val="TableContents"/>
              <w:bidi w:val="0"/>
              <w:spacing w:before="0" w:after="0"/>
              <w:ind w:left="0" w:right="0" w:hanging="0"/>
              <w:jc w:val="left"/>
              <w:rPr/>
            </w:pPr>
            <w:hyperlink w:anchor="ITEM2MANAGEMENTSDISCUSSIONANDANALYSISOFF">
              <w:r>
                <w:rPr>
                  <w:rStyle w:val="InternetLink"/>
                  <w:rFonts w:ascii="Times New Roman;Times;serif" w:hAnsi="Times New Roman;Times;serif"/>
                  <w:b w:val="false"/>
                  <w:i w:val="false"/>
                  <w:caps w:val="false"/>
                  <w:smallCaps w:val="false"/>
                  <w:sz w:val="20"/>
                </w:rPr>
                <w:t>Management’s Discussion and Analysis of Financial Condition and Results of Operations</w:t>
              </w:r>
            </w:hyperlink>
          </w:p>
        </w:tc>
        <w:tc>
          <w:tcPr>
            <w:tcW w:w="81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w:t>
            </w:r>
          </w:p>
        </w:tc>
      </w:tr>
      <w:tr>
        <w:trPr/>
        <w:tc>
          <w:tcPr>
            <w:tcW w:w="811" w:type="dxa"/>
            <w:tcBorders/>
            <w:vAlign w:val="center"/>
          </w:tcPr>
          <w:p>
            <w:pPr>
              <w:pStyle w:val="TableContents"/>
              <w:bidi w:val="0"/>
              <w:spacing w:before="0" w:after="0"/>
              <w:ind w:left="0" w:right="0" w:hanging="0"/>
              <w:jc w:val="left"/>
              <w:rPr/>
            </w:pPr>
            <w:r>
              <w:rPr/>
              <w:t>​</w:t>
            </w:r>
          </w:p>
        </w:tc>
        <w:tc>
          <w:tcPr>
            <w:tcW w:w="7366" w:type="dxa"/>
            <w:tcBorders/>
            <w:vAlign w:val="center"/>
          </w:tcPr>
          <w:p>
            <w:pPr>
              <w:pStyle w:val="TableContents"/>
              <w:bidi w:val="0"/>
              <w:spacing w:before="0" w:after="0"/>
              <w:ind w:left="0" w:right="0" w:hanging="0"/>
              <w:jc w:val="left"/>
              <w:rPr/>
            </w:pPr>
            <w:r>
              <w:rPr/>
              <w:t>​</w:t>
            </w:r>
          </w:p>
        </w:tc>
        <w:tc>
          <w:tcPr>
            <w:tcW w:w="811" w:type="dxa"/>
            <w:tcBorders/>
            <w:vAlign w:val="center"/>
          </w:tcPr>
          <w:p>
            <w:pPr>
              <w:pStyle w:val="TableContents"/>
              <w:bidi w:val="0"/>
              <w:spacing w:before="0" w:after="0"/>
              <w:ind w:left="0" w:right="0" w:hanging="0"/>
              <w:jc w:val="right"/>
              <w:rPr/>
            </w:pPr>
            <w:r>
              <w:rPr/>
              <w:t>​</w:t>
            </w:r>
          </w:p>
        </w:tc>
      </w:tr>
      <w:tr>
        <w:trPr/>
        <w:tc>
          <w:tcPr>
            <w:tcW w:w="811" w:type="dxa"/>
            <w:tcBorders/>
            <w:vAlign w:val="center"/>
          </w:tcPr>
          <w:p>
            <w:pPr>
              <w:pStyle w:val="TableContents"/>
              <w:pBdr/>
              <w:bidi w:val="0"/>
              <w:spacing w:before="0" w:after="0"/>
              <w:ind w:left="0" w:right="0" w:hanging="0"/>
              <w:jc w:val="left"/>
              <w:rPr/>
            </w:pPr>
            <w:hyperlink w:anchor="ITEM3QUANTITATIVEANDQUALITATIVEDISCLOSUR">
              <w:r>
                <w:rPr>
                  <w:rStyle w:val="InternetLink"/>
                  <w:rFonts w:ascii="Times New Roman;Times;serif" w:hAnsi="Times New Roman;Times;serif"/>
                  <w:b w:val="false"/>
                  <w:i w:val="false"/>
                  <w:caps w:val="false"/>
                  <w:smallCaps w:val="false"/>
                  <w:sz w:val="20"/>
                </w:rPr>
                <w:t>Item 3.</w:t>
              </w:r>
            </w:hyperlink>
          </w:p>
        </w:tc>
        <w:tc>
          <w:tcPr>
            <w:tcW w:w="7366" w:type="dxa"/>
            <w:tcBorders/>
            <w:vAlign w:val="center"/>
          </w:tcPr>
          <w:p>
            <w:pPr>
              <w:pStyle w:val="TableContents"/>
              <w:bidi w:val="0"/>
              <w:spacing w:before="0" w:after="0"/>
              <w:ind w:left="0" w:right="0" w:hanging="0"/>
              <w:jc w:val="left"/>
              <w:rPr/>
            </w:pPr>
            <w:hyperlink w:anchor="ITEM3QUANTITATIVEANDQUALITATIVEDISCLOSUR">
              <w:r>
                <w:rPr>
                  <w:rStyle w:val="InternetLink"/>
                  <w:rFonts w:ascii="Times New Roman;Times;serif" w:hAnsi="Times New Roman;Times;serif"/>
                  <w:b w:val="false"/>
                  <w:i w:val="false"/>
                  <w:caps w:val="false"/>
                  <w:smallCaps w:val="false"/>
                  <w:sz w:val="20"/>
                </w:rPr>
                <w:t>Quantitative and Qualitative Disclosure About Market Risk</w:t>
              </w:r>
            </w:hyperlink>
          </w:p>
        </w:tc>
        <w:tc>
          <w:tcPr>
            <w:tcW w:w="81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31</w:t>
            </w:r>
          </w:p>
        </w:tc>
      </w:tr>
      <w:tr>
        <w:trPr/>
        <w:tc>
          <w:tcPr>
            <w:tcW w:w="811" w:type="dxa"/>
            <w:tcBorders/>
            <w:vAlign w:val="center"/>
          </w:tcPr>
          <w:p>
            <w:pPr>
              <w:pStyle w:val="TableContents"/>
              <w:bidi w:val="0"/>
              <w:spacing w:before="0" w:after="0"/>
              <w:ind w:left="0" w:right="0" w:hanging="0"/>
              <w:jc w:val="left"/>
              <w:rPr/>
            </w:pPr>
            <w:r>
              <w:rPr/>
              <w:t>​</w:t>
            </w:r>
          </w:p>
        </w:tc>
        <w:tc>
          <w:tcPr>
            <w:tcW w:w="7366" w:type="dxa"/>
            <w:tcBorders/>
            <w:vAlign w:val="center"/>
          </w:tcPr>
          <w:p>
            <w:pPr>
              <w:pStyle w:val="TableContents"/>
              <w:bidi w:val="0"/>
              <w:spacing w:before="0" w:after="0"/>
              <w:ind w:left="0" w:right="0" w:hanging="0"/>
              <w:jc w:val="left"/>
              <w:rPr/>
            </w:pPr>
            <w:r>
              <w:rPr/>
              <w:t>​</w:t>
            </w:r>
          </w:p>
        </w:tc>
        <w:tc>
          <w:tcPr>
            <w:tcW w:w="811" w:type="dxa"/>
            <w:tcBorders/>
            <w:vAlign w:val="center"/>
          </w:tcPr>
          <w:p>
            <w:pPr>
              <w:pStyle w:val="TableContents"/>
              <w:bidi w:val="0"/>
              <w:spacing w:before="0" w:after="0"/>
              <w:ind w:left="0" w:right="0" w:hanging="0"/>
              <w:jc w:val="right"/>
              <w:rPr/>
            </w:pPr>
            <w:r>
              <w:rPr/>
              <w:t>​</w:t>
            </w:r>
          </w:p>
        </w:tc>
      </w:tr>
      <w:tr>
        <w:trPr/>
        <w:tc>
          <w:tcPr>
            <w:tcW w:w="811" w:type="dxa"/>
            <w:tcBorders/>
            <w:vAlign w:val="center"/>
          </w:tcPr>
          <w:p>
            <w:pPr>
              <w:pStyle w:val="TableContents"/>
              <w:pBdr/>
              <w:bidi w:val="0"/>
              <w:spacing w:before="0" w:after="0"/>
              <w:ind w:left="0" w:right="0" w:hanging="0"/>
              <w:jc w:val="left"/>
              <w:rPr/>
            </w:pPr>
            <w:hyperlink w:anchor="ITEM4CONTROLSANDPROCEDURES_728201">
              <w:r>
                <w:rPr>
                  <w:rStyle w:val="InternetLink"/>
                  <w:rFonts w:ascii="Times New Roman;Times;serif" w:hAnsi="Times New Roman;Times;serif"/>
                  <w:b w:val="false"/>
                  <w:i w:val="false"/>
                  <w:caps w:val="false"/>
                  <w:smallCaps w:val="false"/>
                  <w:sz w:val="20"/>
                </w:rPr>
                <w:t>Item 4.</w:t>
              </w:r>
            </w:hyperlink>
          </w:p>
        </w:tc>
        <w:tc>
          <w:tcPr>
            <w:tcW w:w="7366" w:type="dxa"/>
            <w:tcBorders/>
            <w:vAlign w:val="center"/>
          </w:tcPr>
          <w:p>
            <w:pPr>
              <w:pStyle w:val="TableContents"/>
              <w:bidi w:val="0"/>
              <w:spacing w:before="0" w:after="0"/>
              <w:ind w:left="0" w:right="0" w:hanging="0"/>
              <w:jc w:val="left"/>
              <w:rPr/>
            </w:pPr>
            <w:hyperlink w:anchor="ITEM4CONTROLSANDPROCEDURES_728201">
              <w:r>
                <w:rPr>
                  <w:rStyle w:val="InternetLink"/>
                  <w:rFonts w:ascii="Times New Roman;Times;serif" w:hAnsi="Times New Roman;Times;serif"/>
                  <w:b w:val="false"/>
                  <w:i w:val="false"/>
                  <w:caps w:val="false"/>
                  <w:smallCaps w:val="false"/>
                  <w:sz w:val="20"/>
                </w:rPr>
                <w:t>Controls and Procedures</w:t>
              </w:r>
            </w:hyperlink>
          </w:p>
        </w:tc>
        <w:tc>
          <w:tcPr>
            <w:tcW w:w="81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32</w:t>
            </w:r>
          </w:p>
        </w:tc>
      </w:tr>
      <w:tr>
        <w:trPr/>
        <w:tc>
          <w:tcPr>
            <w:tcW w:w="811" w:type="dxa"/>
            <w:tcBorders/>
            <w:vAlign w:val="center"/>
          </w:tcPr>
          <w:p>
            <w:pPr>
              <w:pStyle w:val="TableContents"/>
              <w:bidi w:val="0"/>
              <w:spacing w:before="0" w:after="0"/>
              <w:ind w:left="0" w:right="0" w:hanging="0"/>
              <w:jc w:val="left"/>
              <w:rPr/>
            </w:pPr>
            <w:r>
              <w:rPr/>
              <w:t>​</w:t>
            </w:r>
          </w:p>
        </w:tc>
        <w:tc>
          <w:tcPr>
            <w:tcW w:w="7366" w:type="dxa"/>
            <w:tcBorders/>
            <w:vAlign w:val="center"/>
          </w:tcPr>
          <w:p>
            <w:pPr>
              <w:pStyle w:val="TableContents"/>
              <w:bidi w:val="0"/>
              <w:spacing w:before="0" w:after="0"/>
              <w:ind w:left="0" w:right="0" w:hanging="0"/>
              <w:jc w:val="left"/>
              <w:rPr/>
            </w:pPr>
            <w:r>
              <w:rPr/>
              <w:t>​</w:t>
            </w:r>
          </w:p>
        </w:tc>
        <w:tc>
          <w:tcPr>
            <w:tcW w:w="811" w:type="dxa"/>
            <w:tcBorders/>
            <w:vAlign w:val="center"/>
          </w:tcPr>
          <w:p>
            <w:pPr>
              <w:pStyle w:val="TableContents"/>
              <w:bidi w:val="0"/>
              <w:spacing w:before="0" w:after="0"/>
              <w:ind w:left="0" w:right="0" w:hanging="0"/>
              <w:jc w:val="right"/>
              <w:rPr/>
            </w:pPr>
            <w:r>
              <w:rPr/>
              <w:t>​</w:t>
            </w:r>
          </w:p>
        </w:tc>
      </w:tr>
      <w:tr>
        <w:trPr/>
        <w:tc>
          <w:tcPr>
            <w:tcW w:w="811" w:type="dxa"/>
            <w:tcBorders/>
            <w:vAlign w:val="center"/>
          </w:tcPr>
          <w:p>
            <w:pPr>
              <w:pStyle w:val="TableContents"/>
              <w:pBdr/>
              <w:bidi w:val="0"/>
              <w:spacing w:before="0" w:after="0"/>
              <w:ind w:left="0" w:right="0" w:hanging="0"/>
              <w:jc w:val="left"/>
              <w:rPr/>
            </w:pPr>
            <w:hyperlink w:anchor="PARTIIOTHERINFORMATION_126030">
              <w:r>
                <w:rPr>
                  <w:rStyle w:val="InternetLink"/>
                  <w:rFonts w:ascii="Times New Roman;Times;serif" w:hAnsi="Times New Roman;Times;serif"/>
                  <w:b/>
                  <w:i w:val="false"/>
                  <w:caps w:val="false"/>
                  <w:smallCaps w:val="false"/>
                  <w:sz w:val="20"/>
                </w:rPr>
                <w:t>Part II.</w:t>
              </w:r>
            </w:hyperlink>
          </w:p>
        </w:tc>
        <w:tc>
          <w:tcPr>
            <w:tcW w:w="7366" w:type="dxa"/>
            <w:tcBorders/>
            <w:vAlign w:val="center"/>
          </w:tcPr>
          <w:p>
            <w:pPr>
              <w:pStyle w:val="TableContents"/>
              <w:bidi w:val="0"/>
              <w:spacing w:before="0" w:after="0"/>
              <w:ind w:left="0" w:right="0" w:hanging="0"/>
              <w:jc w:val="left"/>
              <w:rPr/>
            </w:pPr>
            <w:hyperlink w:anchor="PARTIIOTHERINFORMATION_126030">
              <w:r>
                <w:rPr>
                  <w:rStyle w:val="InternetLink"/>
                  <w:rFonts w:ascii="Times New Roman;Times;serif" w:hAnsi="Times New Roman;Times;serif"/>
                  <w:b/>
                  <w:i w:val="false"/>
                  <w:caps w:val="false"/>
                  <w:smallCaps w:val="false"/>
                  <w:sz w:val="20"/>
                </w:rPr>
                <w:t>OTHER INFORMATION</w:t>
              </w:r>
            </w:hyperlink>
          </w:p>
        </w:tc>
        <w:tc>
          <w:tcPr>
            <w:tcW w:w="81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32</w:t>
            </w:r>
          </w:p>
        </w:tc>
      </w:tr>
      <w:tr>
        <w:trPr/>
        <w:tc>
          <w:tcPr>
            <w:tcW w:w="811" w:type="dxa"/>
            <w:tcBorders/>
            <w:vAlign w:val="center"/>
          </w:tcPr>
          <w:p>
            <w:pPr>
              <w:pStyle w:val="TableContents"/>
              <w:bidi w:val="0"/>
              <w:spacing w:before="0" w:after="0"/>
              <w:ind w:left="0" w:right="0" w:hanging="0"/>
              <w:jc w:val="left"/>
              <w:rPr/>
            </w:pPr>
            <w:r>
              <w:rPr/>
              <w:t>​</w:t>
            </w:r>
          </w:p>
        </w:tc>
        <w:tc>
          <w:tcPr>
            <w:tcW w:w="7366" w:type="dxa"/>
            <w:tcBorders/>
            <w:vAlign w:val="center"/>
          </w:tcPr>
          <w:p>
            <w:pPr>
              <w:pStyle w:val="TableContents"/>
              <w:bidi w:val="0"/>
              <w:spacing w:before="0" w:after="0"/>
              <w:ind w:left="0" w:right="0" w:hanging="0"/>
              <w:jc w:val="left"/>
              <w:rPr/>
            </w:pPr>
            <w:r>
              <w:rPr/>
              <w:t>​</w:t>
            </w:r>
          </w:p>
        </w:tc>
        <w:tc>
          <w:tcPr>
            <w:tcW w:w="811" w:type="dxa"/>
            <w:tcBorders/>
            <w:vAlign w:val="center"/>
          </w:tcPr>
          <w:p>
            <w:pPr>
              <w:pStyle w:val="TableContents"/>
              <w:bidi w:val="0"/>
              <w:spacing w:before="0" w:after="0"/>
              <w:ind w:left="0" w:right="0" w:hanging="0"/>
              <w:jc w:val="right"/>
              <w:rPr/>
            </w:pPr>
            <w:r>
              <w:rPr/>
              <w:t>​</w:t>
            </w:r>
          </w:p>
        </w:tc>
      </w:tr>
      <w:tr>
        <w:trPr/>
        <w:tc>
          <w:tcPr>
            <w:tcW w:w="811" w:type="dxa"/>
            <w:tcBorders/>
            <w:vAlign w:val="center"/>
          </w:tcPr>
          <w:p>
            <w:pPr>
              <w:pStyle w:val="TableContents"/>
              <w:pBdr/>
              <w:bidi w:val="0"/>
              <w:spacing w:before="0" w:after="0"/>
              <w:ind w:left="0" w:right="0" w:hanging="0"/>
              <w:jc w:val="left"/>
              <w:rPr/>
            </w:pPr>
            <w:hyperlink w:anchor="Item1LegalProceedings_781146">
              <w:r>
                <w:rPr>
                  <w:rStyle w:val="InternetLink"/>
                  <w:rFonts w:ascii="Times New Roman;Times;serif" w:hAnsi="Times New Roman;Times;serif"/>
                  <w:b w:val="false"/>
                  <w:i w:val="false"/>
                  <w:caps w:val="false"/>
                  <w:smallCaps w:val="false"/>
                  <w:sz w:val="20"/>
                </w:rPr>
                <w:t>Item 1.</w:t>
              </w:r>
            </w:hyperlink>
          </w:p>
        </w:tc>
        <w:tc>
          <w:tcPr>
            <w:tcW w:w="7366" w:type="dxa"/>
            <w:tcBorders/>
            <w:vAlign w:val="center"/>
          </w:tcPr>
          <w:p>
            <w:pPr>
              <w:pStyle w:val="TableContents"/>
              <w:bidi w:val="0"/>
              <w:spacing w:before="0" w:after="0"/>
              <w:ind w:left="0" w:right="0" w:hanging="0"/>
              <w:jc w:val="left"/>
              <w:rPr/>
            </w:pPr>
            <w:hyperlink w:anchor="Item1LegalProceedings_781146">
              <w:r>
                <w:rPr>
                  <w:rStyle w:val="InternetLink"/>
                  <w:rFonts w:ascii="Times New Roman;Times;serif" w:hAnsi="Times New Roman;Times;serif"/>
                  <w:b w:val="false"/>
                  <w:i w:val="false"/>
                  <w:caps w:val="false"/>
                  <w:smallCaps w:val="false"/>
                  <w:sz w:val="20"/>
                </w:rPr>
                <w:t>Legal Proceedings</w:t>
              </w:r>
            </w:hyperlink>
          </w:p>
        </w:tc>
        <w:tc>
          <w:tcPr>
            <w:tcW w:w="81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32</w:t>
            </w:r>
          </w:p>
        </w:tc>
      </w:tr>
      <w:tr>
        <w:trPr/>
        <w:tc>
          <w:tcPr>
            <w:tcW w:w="811" w:type="dxa"/>
            <w:tcBorders/>
            <w:vAlign w:val="center"/>
          </w:tcPr>
          <w:p>
            <w:pPr>
              <w:pStyle w:val="TableContents"/>
              <w:bidi w:val="0"/>
              <w:spacing w:before="0" w:after="0"/>
              <w:ind w:left="0" w:right="0" w:hanging="0"/>
              <w:jc w:val="left"/>
              <w:rPr/>
            </w:pPr>
            <w:r>
              <w:rPr/>
              <w:t>​</w:t>
            </w:r>
          </w:p>
        </w:tc>
        <w:tc>
          <w:tcPr>
            <w:tcW w:w="7366" w:type="dxa"/>
            <w:tcBorders/>
            <w:vAlign w:val="center"/>
          </w:tcPr>
          <w:p>
            <w:pPr>
              <w:pStyle w:val="TableContents"/>
              <w:bidi w:val="0"/>
              <w:spacing w:before="0" w:after="0"/>
              <w:ind w:left="0" w:right="0" w:hanging="0"/>
              <w:jc w:val="left"/>
              <w:rPr/>
            </w:pPr>
            <w:r>
              <w:rPr/>
              <w:t>​</w:t>
            </w:r>
          </w:p>
        </w:tc>
        <w:tc>
          <w:tcPr>
            <w:tcW w:w="811" w:type="dxa"/>
            <w:tcBorders/>
            <w:vAlign w:val="center"/>
          </w:tcPr>
          <w:p>
            <w:pPr>
              <w:pStyle w:val="TableContents"/>
              <w:bidi w:val="0"/>
              <w:spacing w:before="0" w:after="0"/>
              <w:ind w:left="0" w:right="0" w:hanging="0"/>
              <w:jc w:val="right"/>
              <w:rPr/>
            </w:pPr>
            <w:r>
              <w:rPr/>
              <w:t>​</w:t>
            </w:r>
          </w:p>
        </w:tc>
      </w:tr>
      <w:tr>
        <w:trPr/>
        <w:tc>
          <w:tcPr>
            <w:tcW w:w="811" w:type="dxa"/>
            <w:tcBorders/>
            <w:vAlign w:val="center"/>
          </w:tcPr>
          <w:p>
            <w:pPr>
              <w:pStyle w:val="TableContents"/>
              <w:pBdr/>
              <w:bidi w:val="0"/>
              <w:spacing w:before="0" w:after="0"/>
              <w:ind w:left="0" w:right="0" w:hanging="0"/>
              <w:jc w:val="left"/>
              <w:rPr/>
            </w:pPr>
            <w:hyperlink w:anchor="Item1ARiskFactors_114166">
              <w:r>
                <w:rPr>
                  <w:rStyle w:val="InternetLink"/>
                  <w:rFonts w:ascii="Times New Roman;Times;serif" w:hAnsi="Times New Roman;Times;serif"/>
                  <w:b w:val="false"/>
                  <w:i w:val="false"/>
                  <w:caps w:val="false"/>
                  <w:smallCaps w:val="false"/>
                  <w:sz w:val="20"/>
                </w:rPr>
                <w:t>Item 1A.</w:t>
              </w:r>
            </w:hyperlink>
          </w:p>
        </w:tc>
        <w:tc>
          <w:tcPr>
            <w:tcW w:w="7366" w:type="dxa"/>
            <w:tcBorders/>
            <w:vAlign w:val="center"/>
          </w:tcPr>
          <w:p>
            <w:pPr>
              <w:pStyle w:val="TableContents"/>
              <w:bidi w:val="0"/>
              <w:spacing w:before="0" w:after="0"/>
              <w:ind w:left="0" w:right="0" w:hanging="0"/>
              <w:jc w:val="left"/>
              <w:rPr/>
            </w:pPr>
            <w:hyperlink w:anchor="Item1ARiskFactors_114166">
              <w:r>
                <w:rPr>
                  <w:rStyle w:val="InternetLink"/>
                  <w:rFonts w:ascii="Times New Roman;Times;serif" w:hAnsi="Times New Roman;Times;serif"/>
                  <w:b w:val="false"/>
                  <w:i w:val="false"/>
                  <w:caps w:val="false"/>
                  <w:smallCaps w:val="false"/>
                  <w:sz w:val="20"/>
                </w:rPr>
                <w:t>Risk Factors</w:t>
              </w:r>
            </w:hyperlink>
          </w:p>
        </w:tc>
        <w:tc>
          <w:tcPr>
            <w:tcW w:w="81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33</w:t>
            </w:r>
          </w:p>
        </w:tc>
      </w:tr>
      <w:tr>
        <w:trPr/>
        <w:tc>
          <w:tcPr>
            <w:tcW w:w="811" w:type="dxa"/>
            <w:tcBorders/>
            <w:vAlign w:val="center"/>
          </w:tcPr>
          <w:p>
            <w:pPr>
              <w:pStyle w:val="TableContents"/>
              <w:pBdr/>
              <w:bidi w:val="0"/>
              <w:spacing w:before="0" w:after="0"/>
              <w:ind w:left="0" w:right="0" w:hanging="0"/>
              <w:jc w:val="left"/>
              <w:rPr/>
            </w:pPr>
            <w:r>
              <w:rPr/>
              <w:t>​</w:t>
            </w:r>
          </w:p>
        </w:tc>
        <w:tc>
          <w:tcPr>
            <w:tcW w:w="7366" w:type="dxa"/>
            <w:tcBorders/>
            <w:vAlign w:val="center"/>
          </w:tcPr>
          <w:p>
            <w:pPr>
              <w:pStyle w:val="TableContents"/>
              <w:bidi w:val="0"/>
              <w:spacing w:before="0" w:after="0"/>
              <w:ind w:left="0" w:right="0" w:hanging="0"/>
              <w:jc w:val="left"/>
              <w:rPr/>
            </w:pPr>
            <w:r>
              <w:rPr/>
              <w:t>​</w:t>
            </w:r>
          </w:p>
        </w:tc>
        <w:tc>
          <w:tcPr>
            <w:tcW w:w="811" w:type="dxa"/>
            <w:tcBorders/>
            <w:vAlign w:val="center"/>
          </w:tcPr>
          <w:p>
            <w:pPr>
              <w:pStyle w:val="TableContents"/>
              <w:bidi w:val="0"/>
              <w:spacing w:before="0" w:after="0"/>
              <w:ind w:left="0" w:right="0" w:hanging="0"/>
              <w:jc w:val="right"/>
              <w:rPr/>
            </w:pPr>
            <w:r>
              <w:rPr/>
              <w:t>​</w:t>
            </w:r>
          </w:p>
        </w:tc>
      </w:tr>
      <w:tr>
        <w:trPr/>
        <w:tc>
          <w:tcPr>
            <w:tcW w:w="811" w:type="dxa"/>
            <w:tcBorders/>
            <w:vAlign w:val="center"/>
          </w:tcPr>
          <w:p>
            <w:pPr>
              <w:pStyle w:val="TableContents"/>
              <w:pBdr/>
              <w:bidi w:val="0"/>
              <w:spacing w:before="0" w:after="0"/>
              <w:ind w:left="0" w:right="0" w:hanging="0"/>
              <w:jc w:val="left"/>
              <w:rPr/>
            </w:pPr>
            <w:hyperlink w:anchor="ITEM6Exhibits">
              <w:r>
                <w:rPr>
                  <w:rStyle w:val="InternetLink"/>
                  <w:rFonts w:ascii="Times New Roman;Times;serif" w:hAnsi="Times New Roman;Times;serif"/>
                  <w:b w:val="false"/>
                  <w:i w:val="false"/>
                  <w:caps w:val="false"/>
                  <w:smallCaps w:val="false"/>
                  <w:sz w:val="20"/>
                </w:rPr>
                <w:t>Item 6.</w:t>
              </w:r>
            </w:hyperlink>
          </w:p>
        </w:tc>
        <w:tc>
          <w:tcPr>
            <w:tcW w:w="7366" w:type="dxa"/>
            <w:tcBorders/>
            <w:vAlign w:val="center"/>
          </w:tcPr>
          <w:p>
            <w:pPr>
              <w:pStyle w:val="TableContents"/>
              <w:bidi w:val="0"/>
              <w:spacing w:before="0" w:after="0"/>
              <w:ind w:left="0" w:right="0" w:hanging="0"/>
              <w:jc w:val="left"/>
              <w:rPr/>
            </w:pPr>
            <w:hyperlink w:anchor="ITEM6Exhibits">
              <w:r>
                <w:rPr>
                  <w:rStyle w:val="InternetLink"/>
                  <w:rFonts w:ascii="Times New Roman;Times;serif" w:hAnsi="Times New Roman;Times;serif"/>
                  <w:b w:val="false"/>
                  <w:i w:val="false"/>
                  <w:caps w:val="false"/>
                  <w:smallCaps w:val="false"/>
                  <w:sz w:val="20"/>
                </w:rPr>
                <w:t>Exhibits</w:t>
              </w:r>
            </w:hyperlink>
          </w:p>
        </w:tc>
        <w:tc>
          <w:tcPr>
            <w:tcW w:w="81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34</w:t>
            </w:r>
          </w:p>
        </w:tc>
      </w:tr>
    </w:tbl>
    <w:p>
      <w:pPr>
        <w:pStyle w:val="TextBody"/>
        <w:bidi w:val="0"/>
        <w:spacing w:before="0" w:after="0"/>
        <w:ind w:left="0" w:right="0" w:hanging="0"/>
        <w:jc w:val="left"/>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Items 2, 3, 4 and 5 of Part II are omitted because there is no information to report.</w:t>
      </w:r>
    </w:p>
    <w:p>
      <w:pPr>
        <w:pStyle w:val="TextBody"/>
        <w:bidi w:val="0"/>
        <w:spacing w:before="0" w:after="0"/>
        <w:ind w:left="0" w:right="0" w:hanging="0"/>
        <w:jc w:val="left"/>
        <w:rPr/>
      </w:pPr>
      <w:r>
        <w:rPr/>
        <w:t>​</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2</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120"/>
        <w:ind w:left="0" w:right="0" w:hanging="0"/>
        <w:jc w:val="center"/>
        <w:rPr>
          <w:rFonts w:ascii="Times New Roman;Times;serif" w:hAnsi="Times New Roman;Times;serif"/>
          <w:b/>
          <w:sz w:val="20"/>
        </w:rPr>
      </w:pPr>
      <w:bookmarkStart w:id="35" w:name="_cbf3411d_d432_4a66_a2a6_82bb0c0128d6"/>
      <w:bookmarkEnd w:id="35"/>
      <w:r>
        <w:rPr>
          <w:rFonts w:ascii="Times New Roman;Times;serif" w:hAnsi="Times New Roman;Times;serif"/>
          <w:b/>
          <w:sz w:val="20"/>
        </w:rPr>
        <w:t>NL INDUSTRIES, INC. AND SUBSIDIARIES</w:t>
      </w:r>
    </w:p>
    <w:p>
      <w:pPr>
        <w:pStyle w:val="TextBody"/>
        <w:bidi w:val="0"/>
        <w:spacing w:before="0" w:after="120"/>
        <w:ind w:left="0" w:right="0" w:hanging="0"/>
        <w:jc w:val="center"/>
        <w:rPr>
          <w:rFonts w:ascii="Times New Roman;Times;serif" w:hAnsi="Times New Roman;Times;serif"/>
          <w:b/>
          <w:sz w:val="20"/>
        </w:rPr>
      </w:pPr>
      <w:bookmarkStart w:id="36" w:name="CONDENSEDCONSOLIDATEDBALANCESHEETS_33356"/>
      <w:bookmarkEnd w:id="36"/>
      <w:r>
        <w:rPr>
          <w:rFonts w:ascii="Times New Roman;Times;serif" w:hAnsi="Times New Roman;Times;serif"/>
          <w:b/>
          <w:sz w:val="20"/>
        </w:rPr>
        <w:t>CONDENSED CONSOLIDATED BALANCE SHEETS</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(In thousands)</w:t>
      </w:r>
    </w:p>
    <w:p>
      <w:pPr>
        <w:pStyle w:val="Normal"/>
        <w:bidi w:val="0"/>
        <w:spacing w:before="0" w:after="0"/>
        <w:jc w:val="left"/>
        <w:rPr>
          <w:sz w:val="4"/>
          <w:szCs w:val="4"/>
        </w:rPr>
      </w:pPr>
      <w:r>
        <w:rPr>
          <w:sz w:val="4"/>
          <w:szCs w:val="4"/>
        </w:rPr>
      </w:r>
      <w:bookmarkStart w:id="37" w:name="Tc_7kTQ3UGnS0K68iBO0daaoQ_34_5"/>
      <w:bookmarkStart w:id="38" w:name="Tc_yqexCHFEW0S92UbN7z43Ig_34_2"/>
      <w:bookmarkStart w:id="39" w:name="Tc_EWiXJ-CDaUCgC-JmO0UNmg_34_0"/>
      <w:bookmarkStart w:id="40" w:name="Tc_nXvptwaDzEeHOM5oVA_Fog_32_0"/>
      <w:bookmarkStart w:id="41" w:name="Tc_I3rLUojRy0-XG4y3frXutg_30_0"/>
      <w:bookmarkStart w:id="42" w:name="Tc_gS6u-kvhhUKOVRRBWl8NwQ_28_0"/>
      <w:bookmarkStart w:id="43" w:name="Tc_fdGta5KS3E6kEfcqSN7RkQ_27_0"/>
      <w:bookmarkStart w:id="44" w:name="Tc_gQsp65hoKEu0mN5miFmOBw_26_0"/>
      <w:bookmarkStart w:id="45" w:name="Tc_65z2SCXTgEa8sJCzBQTi0Q_25_0"/>
      <w:bookmarkStart w:id="46" w:name="Tc_HamIVjyIX0mgzmlDdTTRoA_24_0"/>
      <w:bookmarkStart w:id="47" w:name="Tc_eODKpw0wW0aihtWXmWphWg_22_0"/>
      <w:bookmarkStart w:id="48" w:name="Tc_vSbaFZ4AIEevFxvbF--eGQ_20_0"/>
      <w:bookmarkStart w:id="49" w:name="Tc_2LXkD9LBOEKL_DtvHzyBOQ_19_3"/>
      <w:bookmarkStart w:id="50" w:name="Tc_AXqyZblGekSW5kDiKSkaOw_19_0"/>
      <w:bookmarkStart w:id="51" w:name="Tc_xl6c4yUyDEGIektxER6Y-w_18_0"/>
      <w:bookmarkStart w:id="52" w:name="Tc_9qJYe1A7_Ueg_jezRYdMBA_17_0"/>
      <w:bookmarkStart w:id="53" w:name="Tc_TZTmhaZaXUqDNvXO1fjM9w_16_0"/>
      <w:bookmarkStart w:id="54" w:name="Tc_JH9VnpC6PECuzlSt_iftsg_15_0"/>
      <w:bookmarkStart w:id="55" w:name="Tc_rntxtZMYD0Kiap9f8YDY3A_14_0"/>
      <w:bookmarkStart w:id="56" w:name="Tc_8OdmXrVOn0G335QLPFrcaA_12_0"/>
      <w:bookmarkStart w:id="57" w:name="Tc_YWTNY5Oybky4t2JFgPsqog_10_0"/>
      <w:bookmarkStart w:id="58" w:name="Tc_RGwUtuDvv0qTBMCQ3JUQOw_9_0"/>
      <w:bookmarkStart w:id="59" w:name="Tc_Cam2T0_uuUqXgnregh2YRw_8_0"/>
      <w:bookmarkStart w:id="60" w:name="Tc_Ys0fgDf0DEWDXMAS2eHJEw_7_0"/>
      <w:bookmarkStart w:id="61" w:name="Tc_rtPBXRaq5EOw3SfaPn57sA_6_5"/>
      <w:bookmarkStart w:id="62" w:name="Tc_7SKUDoxyIU6SHm9PH4MTgw_6_2"/>
      <w:bookmarkStart w:id="63" w:name="Tc_j26B9DNr2k6fLzDauUVkkA_6_0"/>
      <w:bookmarkStart w:id="64" w:name="Tc_wseA8bIeq0md_QnA4U8fzg_5_0"/>
      <w:bookmarkStart w:id="65" w:name="Tc_lHbKlwz6vkqHB2SpKNqxyg_4_0"/>
      <w:bookmarkStart w:id="66" w:name="Tc_T6MbRilw3kqR77W8_7Obtg_3_5"/>
      <w:bookmarkStart w:id="67" w:name="Tc_5RJEbn6BJEugJpm-b2sEEg_2_5"/>
      <w:bookmarkStart w:id="68" w:name="Tc_kNDNy-aRoEK13sWXxYfaew_2_2"/>
      <w:bookmarkStart w:id="69" w:name="Tc_HORDcqg-d023HhvfURZBSA_1_5"/>
      <w:bookmarkStart w:id="70" w:name="Tc_KtWDPP8zb06RG_VsW98qag_1_2"/>
      <w:bookmarkStart w:id="71" w:name="_8b9688b3_0642_489c_a752_fb0c5c08afbe"/>
      <w:bookmarkStart w:id="72" w:name="Tc_7kTQ3UGnS0K68iBO0daaoQ_34_5"/>
      <w:bookmarkStart w:id="73" w:name="Tc_yqexCHFEW0S92UbN7z43Ig_34_2"/>
      <w:bookmarkStart w:id="74" w:name="Tc_EWiXJ-CDaUCgC-JmO0UNmg_34_0"/>
      <w:bookmarkStart w:id="75" w:name="Tc_nXvptwaDzEeHOM5oVA_Fog_32_0"/>
      <w:bookmarkStart w:id="76" w:name="Tc_I3rLUojRy0-XG4y3frXutg_30_0"/>
      <w:bookmarkStart w:id="77" w:name="Tc_gS6u-kvhhUKOVRRBWl8NwQ_28_0"/>
      <w:bookmarkStart w:id="78" w:name="Tc_fdGta5KS3E6kEfcqSN7RkQ_27_0"/>
      <w:bookmarkStart w:id="79" w:name="Tc_gQsp65hoKEu0mN5miFmOBw_26_0"/>
      <w:bookmarkStart w:id="80" w:name="Tc_65z2SCXTgEa8sJCzBQTi0Q_25_0"/>
      <w:bookmarkStart w:id="81" w:name="Tc_HamIVjyIX0mgzmlDdTTRoA_24_0"/>
      <w:bookmarkStart w:id="82" w:name="Tc_eODKpw0wW0aihtWXmWphWg_22_0"/>
      <w:bookmarkStart w:id="83" w:name="Tc_vSbaFZ4AIEevFxvbF--eGQ_20_0"/>
      <w:bookmarkStart w:id="84" w:name="Tc_2LXkD9LBOEKL_DtvHzyBOQ_19_3"/>
      <w:bookmarkStart w:id="85" w:name="Tc_AXqyZblGekSW5kDiKSkaOw_19_0"/>
      <w:bookmarkStart w:id="86" w:name="Tc_xl6c4yUyDEGIektxER6Y-w_18_0"/>
      <w:bookmarkStart w:id="87" w:name="Tc_9qJYe1A7_Ueg_jezRYdMBA_17_0"/>
      <w:bookmarkStart w:id="88" w:name="Tc_TZTmhaZaXUqDNvXO1fjM9w_16_0"/>
      <w:bookmarkStart w:id="89" w:name="Tc_JH9VnpC6PECuzlSt_iftsg_15_0"/>
      <w:bookmarkStart w:id="90" w:name="Tc_rntxtZMYD0Kiap9f8YDY3A_14_0"/>
      <w:bookmarkStart w:id="91" w:name="Tc_8OdmXrVOn0G335QLPFrcaA_12_0"/>
      <w:bookmarkStart w:id="92" w:name="Tc_YWTNY5Oybky4t2JFgPsqog_10_0"/>
      <w:bookmarkStart w:id="93" w:name="Tc_RGwUtuDvv0qTBMCQ3JUQOw_9_0"/>
      <w:bookmarkStart w:id="94" w:name="Tc_Cam2T0_uuUqXgnregh2YRw_8_0"/>
      <w:bookmarkStart w:id="95" w:name="Tc_Ys0fgDf0DEWDXMAS2eHJEw_7_0"/>
      <w:bookmarkStart w:id="96" w:name="Tc_rtPBXRaq5EOw3SfaPn57sA_6_5"/>
      <w:bookmarkStart w:id="97" w:name="Tc_7SKUDoxyIU6SHm9PH4MTgw_6_2"/>
      <w:bookmarkStart w:id="98" w:name="Tc_j26B9DNr2k6fLzDauUVkkA_6_0"/>
      <w:bookmarkStart w:id="99" w:name="Tc_wseA8bIeq0md_QnA4U8fzg_5_0"/>
      <w:bookmarkStart w:id="100" w:name="Tc_lHbKlwz6vkqHB2SpKNqxyg_4_0"/>
      <w:bookmarkStart w:id="101" w:name="Tc_T6MbRilw3kqR77W8_7Obtg_3_5"/>
      <w:bookmarkStart w:id="102" w:name="Tc_5RJEbn6BJEugJpm-b2sEEg_2_5"/>
      <w:bookmarkStart w:id="103" w:name="Tc_kNDNy-aRoEK13sWXxYfaew_2_2"/>
      <w:bookmarkStart w:id="104" w:name="Tc_HORDcqg-d023HhvfURZBSA_1_5"/>
      <w:bookmarkStart w:id="105" w:name="Tc_KtWDPP8zb06RG_VsW98qag_1_2"/>
      <w:bookmarkStart w:id="106" w:name="_8b9688b3_0642_489c_a752_fb0c5c08afbe"/>
      <w:bookmarkEnd w:id="72"/>
      <w:bookmarkEnd w:id="73"/>
      <w:bookmarkEnd w:id="74"/>
      <w:bookmarkEnd w:id="75"/>
      <w:bookmarkEnd w:id="76"/>
      <w:bookmarkEnd w:id="77"/>
      <w:bookmarkEnd w:id="78"/>
      <w:bookmarkEnd w:id="79"/>
      <w:bookmarkEnd w:id="80"/>
      <w:bookmarkEnd w:id="81"/>
      <w:bookmarkEnd w:id="82"/>
      <w:bookmarkEnd w:id="83"/>
      <w:bookmarkEnd w:id="84"/>
      <w:bookmarkEnd w:id="85"/>
      <w:bookmarkEnd w:id="86"/>
      <w:bookmarkEnd w:id="87"/>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p>
    <w:tbl>
      <w:tblPr>
        <w:tblW w:w="6423" w:type="dxa"/>
        <w:jc w:val="left"/>
        <w:tblInd w:w="0" w:type="dxa"/>
        <w:tblLayout w:type="fixed"/>
        <w:tblCellMar>
          <w:top w:w="0" w:type="dxa"/>
          <w:left w:w="0" w:type="dxa"/>
          <w:bottom w:w="0" w:type="dxa"/>
          <w:right w:w="0" w:type="dxa"/>
        </w:tblCellMar>
      </w:tblPr>
      <w:tblGrid>
        <w:gridCol w:w="3196"/>
        <w:gridCol w:w="346"/>
        <w:gridCol w:w="277"/>
        <w:gridCol w:w="1028"/>
        <w:gridCol w:w="346"/>
        <w:gridCol w:w="236"/>
        <w:gridCol w:w="994"/>
      </w:tblGrid>
      <w:tr>
        <w:trPr/>
        <w:tc>
          <w:tcPr>
            <w:tcW w:w="3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2029460" cy="175260"/>
                      <wp:effectExtent l="0" t="0" r="0" b="0"/>
                      <wp:wrapNone/>
                      <wp:docPr id="4" name="Frame4"/>
                      <a:graphic xmlns:a="http://schemas.openxmlformats.org/drawingml/2006/main">
                        <a:graphicData uri="http://schemas.microsoft.com/office/word/2010/wordprocessingShape">
                          <wps:wsp>
                            <wps:cNvSpPr txBox="1"/>
                            <wps:spPr>
                              <a:xfrm>
                                <a:off x="0" y="0"/>
                                <a:ext cx="2029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219710" cy="175260"/>
                      <wp:effectExtent l="0" t="0" r="0" b="0"/>
                      <wp:wrapNone/>
                      <wp:docPr id="5" name="Frame5"/>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7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175895" cy="175260"/>
                      <wp:effectExtent l="0" t="0" r="0" b="0"/>
                      <wp:wrapNone/>
                      <wp:docPr id="6" name="Frame6"/>
                      <a:graphic xmlns:a="http://schemas.openxmlformats.org/drawingml/2006/main">
                        <a:graphicData uri="http://schemas.microsoft.com/office/word/2010/wordprocessingShape">
                          <wps:wsp>
                            <wps:cNvSpPr txBox="1"/>
                            <wps:spPr>
                              <a:xfrm>
                                <a:off x="0" y="0"/>
                                <a:ext cx="17589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2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52780" cy="175260"/>
                      <wp:effectExtent l="0" t="0" r="0" b="0"/>
                      <wp:wrapNone/>
                      <wp:docPr id="7" name="Frame7"/>
                      <a:graphic xmlns:a="http://schemas.openxmlformats.org/drawingml/2006/main">
                        <a:graphicData uri="http://schemas.microsoft.com/office/word/2010/wordprocessingShape">
                          <wps:wsp>
                            <wps:cNvSpPr txBox="1"/>
                            <wps:spPr>
                              <a:xfrm>
                                <a:off x="0" y="0"/>
                                <a:ext cx="65278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219710" cy="175260"/>
                      <wp:effectExtent l="0" t="0" r="0" b="0"/>
                      <wp:wrapNone/>
                      <wp:docPr id="8" name="Frame8"/>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149860" cy="175260"/>
                      <wp:effectExtent l="0" t="0" r="0" b="0"/>
                      <wp:wrapNone/>
                      <wp:docPr id="9" name="Frame9"/>
                      <a:graphic xmlns:a="http://schemas.openxmlformats.org/drawingml/2006/main">
                        <a:graphicData uri="http://schemas.microsoft.com/office/word/2010/wordprocessingShape">
                          <wps:wsp>
                            <wps:cNvSpPr txBox="1"/>
                            <wps:spPr>
                              <a:xfrm>
                                <a:off x="0" y="0"/>
                                <a:ext cx="1498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9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31190" cy="175260"/>
                      <wp:effectExtent l="0" t="0" r="0" b="0"/>
                      <wp:wrapNone/>
                      <wp:docPr id="10" name="Frame10"/>
                      <a:graphic xmlns:a="http://schemas.openxmlformats.org/drawingml/2006/main">
                        <a:graphicData uri="http://schemas.microsoft.com/office/word/2010/wordprocessingShape">
                          <wps:wsp>
                            <wps:cNvSpPr txBox="1"/>
                            <wps:spPr>
                              <a:xfrm>
                                <a:off x="0" y="0"/>
                                <a:ext cx="63119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9.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19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1305" w:type="dxa"/>
            <w:gridSpan w:val="2"/>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December 31, </w:t>
            </w:r>
          </w:p>
        </w:tc>
        <w:tc>
          <w:tcPr>
            <w:tcW w:w="346" w:type="dxa"/>
            <w:tcBorders/>
            <w:vAlign w:val="center"/>
          </w:tcPr>
          <w:p>
            <w:pPr>
              <w:pStyle w:val="TableContents"/>
              <w:bidi w:val="0"/>
              <w:spacing w:before="0" w:after="0"/>
              <w:ind w:left="0" w:right="0" w:hanging="0"/>
              <w:jc w:val="left"/>
              <w:rPr/>
            </w:pPr>
            <w:r>
              <w:rPr/>
              <w:t>​</w:t>
            </w:r>
          </w:p>
        </w:tc>
        <w:tc>
          <w:tcPr>
            <w:tcW w:w="1230" w:type="dxa"/>
            <w:gridSpan w:val="2"/>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March 31, </w:t>
            </w:r>
          </w:p>
        </w:tc>
      </w:tr>
      <w:tr>
        <w:trPr/>
        <w:tc>
          <w:tcPr>
            <w:tcW w:w="319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  ​ ​ ​</w:t>
            </w:r>
          </w:p>
        </w:tc>
        <w:tc>
          <w:tcPr>
            <w:tcW w:w="130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2025</w:t>
            </w:r>
          </w:p>
        </w:tc>
        <w:tc>
          <w:tcPr>
            <w:tcW w:w="346" w:type="dxa"/>
            <w:tcBorders/>
            <w:vAlign w:val="center"/>
          </w:tcPr>
          <w:p>
            <w:pPr>
              <w:pStyle w:val="TableContents"/>
              <w:bidi w:val="0"/>
              <w:spacing w:before="0" w:after="0"/>
              <w:ind w:left="0" w:right="0" w:hanging="0"/>
              <w:jc w:val="center"/>
              <w:rPr/>
            </w:pPr>
            <w:r>
              <w:rPr/>
              <w:t>  ​ ​ ​</w:t>
            </w:r>
          </w:p>
        </w:tc>
        <w:tc>
          <w:tcPr>
            <w:tcW w:w="123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2026</w:t>
            </w:r>
          </w:p>
        </w:tc>
      </w:tr>
      <w:tr>
        <w:trPr/>
        <w:tc>
          <w:tcPr>
            <w:tcW w:w="319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w:t>
            </w:r>
          </w:p>
        </w:tc>
        <w:tc>
          <w:tcPr>
            <w:tcW w:w="277" w:type="dxa"/>
            <w:tcBorders/>
            <w:vAlign w:val="center"/>
          </w:tcPr>
          <w:p>
            <w:pPr>
              <w:pStyle w:val="TableContents"/>
              <w:bidi w:val="0"/>
              <w:spacing w:before="0" w:after="0"/>
              <w:ind w:left="0" w:right="0" w:hanging="0"/>
              <w:jc w:val="left"/>
              <w:rPr/>
            </w:pPr>
            <w:r>
              <w:rPr/>
              <w:t>​</w:t>
            </w:r>
          </w:p>
        </w:tc>
        <w:tc>
          <w:tcPr>
            <w:tcW w:w="1028" w:type="dxa"/>
            <w:tcBorders/>
            <w:vAlign w:val="center"/>
          </w:tcPr>
          <w:p>
            <w:pPr>
              <w:pStyle w:val="TableContents"/>
              <w:bidi w:val="0"/>
              <w:spacing w:before="0" w:after="0"/>
              <w:ind w:left="0" w:right="0" w:hanging="0"/>
              <w:jc w:val="right"/>
              <w:rPr/>
            </w:pPr>
            <w:r>
              <w:rPr/>
              <w:t>  ​</w:t>
            </w:r>
          </w:p>
        </w:tc>
        <w:tc>
          <w:tcPr>
            <w:tcW w:w="346" w:type="dxa"/>
            <w:tcBorders/>
            <w:vAlign w:val="center"/>
          </w:tcPr>
          <w:p>
            <w:pPr>
              <w:pStyle w:val="TableContents"/>
              <w:bidi w:val="0"/>
              <w:spacing w:before="0" w:after="0"/>
              <w:ind w:left="0" w:right="0" w:hanging="0"/>
              <w:jc w:val="left"/>
              <w:rPr/>
            </w:pPr>
            <w:r>
              <w:rPr/>
              <w:t> </w:t>
            </w:r>
          </w:p>
        </w:tc>
        <w:tc>
          <w:tcPr>
            <w:tcW w:w="1230" w:type="dxa"/>
            <w:gridSpan w:val="2"/>
            <w:tcBorders/>
            <w:vAlign w:val="center"/>
          </w:tcPr>
          <w:p>
            <w:pPr>
              <w:pStyle w:val="TableContents"/>
              <w:bidi w:val="0"/>
              <w:spacing w:before="0" w:after="0"/>
              <w:ind w:left="0" w:right="0" w:hanging="0"/>
              <w:jc w:val="center"/>
              <w:rPr/>
            </w:pPr>
            <w:r>
              <w:rPr/>
              <w:t>  ​</w:t>
            </w:r>
            <w:r>
              <w:rPr>
                <w:rFonts w:ascii="Times New Roman;Times;serif" w:hAnsi="Times New Roman;Times;serif"/>
                <w:b/>
                <w:sz w:val="20"/>
              </w:rPr>
              <w:t>(unaudited)</w:t>
            </w:r>
          </w:p>
        </w:tc>
      </w:tr>
      <w:tr>
        <w:trPr/>
        <w:tc>
          <w:tcPr>
            <w:tcW w:w="3196" w:type="dxa"/>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ASSETS</w:t>
            </w:r>
          </w:p>
        </w:tc>
        <w:tc>
          <w:tcPr>
            <w:tcW w:w="346" w:type="dxa"/>
            <w:tcBorders/>
            <w:vAlign w:val="center"/>
          </w:tcPr>
          <w:p>
            <w:pPr>
              <w:pStyle w:val="TableContents"/>
              <w:bidi w:val="0"/>
              <w:spacing w:before="0" w:after="0"/>
              <w:ind w:left="0" w:right="0" w:hanging="0"/>
              <w:jc w:val="left"/>
              <w:rPr/>
            </w:pPr>
            <w:r>
              <w:rPr/>
              <w:t>​</w:t>
            </w:r>
          </w:p>
        </w:tc>
        <w:tc>
          <w:tcPr>
            <w:tcW w:w="277" w:type="dxa"/>
            <w:tcBorders/>
            <w:vAlign w:val="center"/>
          </w:tcPr>
          <w:p>
            <w:pPr>
              <w:pStyle w:val="TableContents"/>
              <w:bidi w:val="0"/>
              <w:spacing w:before="0" w:after="0"/>
              <w:ind w:left="0" w:right="0" w:hanging="0"/>
              <w:jc w:val="left"/>
              <w:rPr/>
            </w:pPr>
            <w:r>
              <w:rPr/>
              <w:t>​</w:t>
            </w:r>
          </w:p>
        </w:tc>
        <w:tc>
          <w:tcPr>
            <w:tcW w:w="1028"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36" w:type="dxa"/>
            <w:tcBorders/>
            <w:vAlign w:val="center"/>
          </w:tcPr>
          <w:p>
            <w:pPr>
              <w:pStyle w:val="TableContents"/>
              <w:bidi w:val="0"/>
              <w:spacing w:before="0" w:after="0"/>
              <w:ind w:left="0" w:right="0" w:hanging="0"/>
              <w:jc w:val="center"/>
              <w:rPr/>
            </w:pPr>
            <w:r>
              <w:rPr/>
              <w:t>​</w:t>
            </w:r>
          </w:p>
        </w:tc>
        <w:tc>
          <w:tcPr>
            <w:tcW w:w="994" w:type="dxa"/>
            <w:tcBorders/>
            <w:vAlign w:val="center"/>
          </w:tcPr>
          <w:p>
            <w:pPr>
              <w:pStyle w:val="TableContents"/>
              <w:bidi w:val="0"/>
              <w:spacing w:before="0" w:after="0"/>
              <w:ind w:left="0" w:right="0" w:hanging="0"/>
              <w:jc w:val="center"/>
              <w:rPr/>
            </w:pPr>
            <w:r>
              <w:rPr/>
              <w:t>​</w:t>
            </w:r>
          </w:p>
        </w:tc>
      </w:tr>
      <w:tr>
        <w:trPr/>
        <w:tc>
          <w:tcPr>
            <w:tcW w:w="319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Current assets:</w:t>
            </w:r>
          </w:p>
        </w:tc>
        <w:tc>
          <w:tcPr>
            <w:tcW w:w="346" w:type="dxa"/>
            <w:tcBorders/>
            <w:shd w:fill="CCEEFF" w:val="clear"/>
            <w:vAlign w:val="center"/>
          </w:tcPr>
          <w:p>
            <w:pPr>
              <w:pStyle w:val="TableContents"/>
              <w:bidi w:val="0"/>
              <w:spacing w:before="0" w:after="0"/>
              <w:ind w:left="0" w:right="0" w:hanging="0"/>
              <w:jc w:val="left"/>
              <w:rPr/>
            </w:pPr>
            <w:r>
              <w:rPr/>
              <w:t> </w:t>
            </w:r>
          </w:p>
        </w:tc>
        <w:tc>
          <w:tcPr>
            <w:tcW w:w="277" w:type="dxa"/>
            <w:tcBorders/>
            <w:shd w:fill="CCEEFF" w:val="clear"/>
            <w:vAlign w:val="center"/>
          </w:tcPr>
          <w:p>
            <w:pPr>
              <w:pStyle w:val="TableContents"/>
              <w:bidi w:val="0"/>
              <w:spacing w:before="0" w:after="0"/>
              <w:ind w:left="0" w:right="0" w:hanging="0"/>
              <w:jc w:val="left"/>
              <w:rPr/>
            </w:pPr>
            <w:r>
              <w:rPr/>
              <w:t>​</w:t>
            </w:r>
          </w:p>
        </w:tc>
        <w:tc>
          <w:tcPr>
            <w:tcW w:w="1028" w:type="dxa"/>
            <w:tcBorders/>
            <w:shd w:fill="CCEEFF" w:val="clear"/>
            <w:vAlign w:val="center"/>
          </w:tcPr>
          <w:p>
            <w:pPr>
              <w:pStyle w:val="TableContents"/>
              <w:bidi w:val="0"/>
              <w:spacing w:before="0" w:after="0"/>
              <w:ind w:left="0" w:right="0" w:hanging="0"/>
              <w:jc w:val="right"/>
              <w:rPr/>
            </w:pPr>
            <w:r>
              <w:rPr/>
              <w:t>  ​</w:t>
            </w:r>
          </w:p>
        </w:tc>
        <w:tc>
          <w:tcPr>
            <w:tcW w:w="346" w:type="dxa"/>
            <w:tcBorders/>
            <w:shd w:fill="CCEEFF" w:val="clear"/>
            <w:vAlign w:val="center"/>
          </w:tcPr>
          <w:p>
            <w:pPr>
              <w:pStyle w:val="TableContents"/>
              <w:bidi w:val="0"/>
              <w:spacing w:before="0" w:after="0"/>
              <w:ind w:left="0" w:right="0" w:hanging="0"/>
              <w:jc w:val="left"/>
              <w:rPr/>
            </w:pPr>
            <w:r>
              <w:rPr/>
              <w:t> </w:t>
            </w:r>
          </w:p>
        </w:tc>
        <w:tc>
          <w:tcPr>
            <w:tcW w:w="236" w:type="dxa"/>
            <w:tcBorders/>
            <w:shd w:fill="CCEEFF" w:val="clear"/>
            <w:vAlign w:val="center"/>
          </w:tcPr>
          <w:p>
            <w:pPr>
              <w:pStyle w:val="TableContents"/>
              <w:bidi w:val="0"/>
              <w:spacing w:before="0" w:after="0"/>
              <w:ind w:left="0" w:right="0" w:hanging="0"/>
              <w:jc w:val="left"/>
              <w:rPr/>
            </w:pPr>
            <w:r>
              <w:rPr/>
              <w:t>​</w:t>
            </w:r>
          </w:p>
        </w:tc>
        <w:tc>
          <w:tcPr>
            <w:tcW w:w="994" w:type="dxa"/>
            <w:tcBorders/>
            <w:shd w:fill="CCEEFF" w:val="clear"/>
            <w:vAlign w:val="center"/>
          </w:tcPr>
          <w:p>
            <w:pPr>
              <w:pStyle w:val="TableContents"/>
              <w:bidi w:val="0"/>
              <w:spacing w:before="0" w:after="0"/>
              <w:ind w:left="0" w:right="0" w:hanging="0"/>
              <w:jc w:val="right"/>
              <w:rPr/>
            </w:pPr>
            <w:r>
              <w:rPr/>
              <w:t>  ​</w:t>
            </w:r>
          </w:p>
        </w:tc>
      </w:tr>
      <w:tr>
        <w:trPr/>
        <w:tc>
          <w:tcPr>
            <w:tcW w:w="319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Cash and cash equivalents</w:t>
            </w:r>
          </w:p>
        </w:tc>
        <w:tc>
          <w:tcPr>
            <w:tcW w:w="346" w:type="dxa"/>
            <w:tcBorders/>
            <w:vAlign w:val="center"/>
          </w:tcPr>
          <w:p>
            <w:pPr>
              <w:pStyle w:val="TableContents"/>
              <w:bidi w:val="0"/>
              <w:spacing w:before="0" w:after="0"/>
              <w:ind w:left="0" w:right="0" w:hanging="0"/>
              <w:jc w:val="left"/>
              <w:rPr/>
            </w:pPr>
            <w:r>
              <w:rPr/>
              <w:t>​</w:t>
            </w:r>
          </w:p>
        </w:tc>
        <w:tc>
          <w:tcPr>
            <w:tcW w:w="277"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28"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110,615</w:t>
            </w:r>
          </w:p>
        </w:tc>
        <w:tc>
          <w:tcPr>
            <w:tcW w:w="346" w:type="dxa"/>
            <w:tcBorders/>
            <w:vAlign w:val="center"/>
          </w:tcPr>
          <w:p>
            <w:pPr>
              <w:pStyle w:val="TableContents"/>
              <w:bidi w:val="0"/>
              <w:spacing w:before="0" w:after="0"/>
              <w:ind w:left="0" w:right="0" w:hanging="0"/>
              <w:jc w:val="left"/>
              <w:rPr/>
            </w:pPr>
            <w:r>
              <w:rPr/>
              <w:t>​</w:t>
            </w:r>
          </w:p>
        </w:tc>
        <w:tc>
          <w:tcPr>
            <w:tcW w:w="236"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994" w:type="dxa"/>
            <w:tcBorders/>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101,909</w:t>
            </w:r>
          </w:p>
        </w:tc>
      </w:tr>
      <w:tr>
        <w:trPr/>
        <w:tc>
          <w:tcPr>
            <w:tcW w:w="319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Restricted cash and cash equivalents</w:t>
            </w:r>
          </w:p>
        </w:tc>
        <w:tc>
          <w:tcPr>
            <w:tcW w:w="346" w:type="dxa"/>
            <w:tcBorders/>
            <w:shd w:fill="CCEEFF" w:val="clear"/>
            <w:vAlign w:val="center"/>
          </w:tcPr>
          <w:p>
            <w:pPr>
              <w:pStyle w:val="TableContents"/>
              <w:bidi w:val="0"/>
              <w:spacing w:before="0" w:after="0"/>
              <w:ind w:left="0" w:right="0" w:hanging="0"/>
              <w:jc w:val="left"/>
              <w:rPr/>
            </w:pPr>
            <w:r>
              <w:rPr/>
              <w:t>​</w:t>
            </w:r>
          </w:p>
        </w:tc>
        <w:tc>
          <w:tcPr>
            <w:tcW w:w="277" w:type="dxa"/>
            <w:tcBorders/>
            <w:shd w:fill="CCEEFF" w:val="clear"/>
            <w:vAlign w:val="center"/>
          </w:tcPr>
          <w:p>
            <w:pPr>
              <w:pStyle w:val="TableContents"/>
              <w:bidi w:val="0"/>
              <w:spacing w:before="0" w:after="0"/>
              <w:ind w:left="0" w:right="0" w:hanging="0"/>
              <w:jc w:val="left"/>
              <w:rPr/>
            </w:pPr>
            <w:r>
              <w:rPr/>
              <w:t> </w:t>
            </w:r>
          </w:p>
        </w:tc>
        <w:tc>
          <w:tcPr>
            <w:tcW w:w="102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3,123</w:t>
            </w:r>
          </w:p>
        </w:tc>
        <w:tc>
          <w:tcPr>
            <w:tcW w:w="346" w:type="dxa"/>
            <w:tcBorders/>
            <w:shd w:fill="CCEEFF" w:val="clear"/>
            <w:vAlign w:val="center"/>
          </w:tcPr>
          <w:p>
            <w:pPr>
              <w:pStyle w:val="TableContents"/>
              <w:bidi w:val="0"/>
              <w:spacing w:before="0" w:after="0"/>
              <w:ind w:left="0" w:right="0" w:hanging="0"/>
              <w:jc w:val="left"/>
              <w:rPr/>
            </w:pPr>
            <w:r>
              <w:rPr/>
              <w:t>​</w:t>
            </w:r>
          </w:p>
        </w:tc>
        <w:tc>
          <w:tcPr>
            <w:tcW w:w="236" w:type="dxa"/>
            <w:tcBorders/>
            <w:shd w:fill="CCEEFF" w:val="clear"/>
            <w:vAlign w:val="center"/>
          </w:tcPr>
          <w:p>
            <w:pPr>
              <w:pStyle w:val="TableContents"/>
              <w:bidi w:val="0"/>
              <w:spacing w:before="0" w:after="0"/>
              <w:ind w:left="0" w:right="0" w:hanging="0"/>
              <w:jc w:val="left"/>
              <w:rPr/>
            </w:pPr>
            <w:r>
              <w:rPr/>
              <w:t> </w:t>
            </w:r>
          </w:p>
        </w:tc>
        <w:tc>
          <w:tcPr>
            <w:tcW w:w="994"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3,125</w:t>
            </w:r>
          </w:p>
        </w:tc>
      </w:tr>
      <w:tr>
        <w:trPr/>
        <w:tc>
          <w:tcPr>
            <w:tcW w:w="319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Accounts and other receivables, net</w:t>
            </w:r>
          </w:p>
        </w:tc>
        <w:tc>
          <w:tcPr>
            <w:tcW w:w="346" w:type="dxa"/>
            <w:tcBorders/>
            <w:vAlign w:val="center"/>
          </w:tcPr>
          <w:p>
            <w:pPr>
              <w:pStyle w:val="TableContents"/>
              <w:bidi w:val="0"/>
              <w:spacing w:before="0" w:after="0"/>
              <w:ind w:left="0" w:right="0" w:hanging="0"/>
              <w:jc w:val="left"/>
              <w:rPr/>
            </w:pPr>
            <w:r>
              <w:rPr/>
              <w:t>​</w:t>
            </w:r>
          </w:p>
        </w:tc>
        <w:tc>
          <w:tcPr>
            <w:tcW w:w="277" w:type="dxa"/>
            <w:tcBorders/>
            <w:vAlign w:val="center"/>
          </w:tcPr>
          <w:p>
            <w:pPr>
              <w:pStyle w:val="TableContents"/>
              <w:bidi w:val="0"/>
              <w:spacing w:before="0" w:after="0"/>
              <w:ind w:left="0" w:right="0" w:hanging="0"/>
              <w:jc w:val="left"/>
              <w:rPr/>
            </w:pPr>
            <w:r>
              <w:rPr/>
              <w:t> </w:t>
            </w:r>
          </w:p>
        </w:tc>
        <w:tc>
          <w:tcPr>
            <w:tcW w:w="1028"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13,801</w:t>
            </w:r>
          </w:p>
        </w:tc>
        <w:tc>
          <w:tcPr>
            <w:tcW w:w="346" w:type="dxa"/>
            <w:tcBorders/>
            <w:vAlign w:val="center"/>
          </w:tcPr>
          <w:p>
            <w:pPr>
              <w:pStyle w:val="TableContents"/>
              <w:bidi w:val="0"/>
              <w:spacing w:before="0" w:after="0"/>
              <w:ind w:left="0" w:right="0" w:hanging="0"/>
              <w:jc w:val="left"/>
              <w:rPr/>
            </w:pPr>
            <w:r>
              <w:rPr/>
              <w:t>​</w:t>
            </w:r>
          </w:p>
        </w:tc>
        <w:tc>
          <w:tcPr>
            <w:tcW w:w="236" w:type="dxa"/>
            <w:tcBorders/>
            <w:vAlign w:val="center"/>
          </w:tcPr>
          <w:p>
            <w:pPr>
              <w:pStyle w:val="TableContents"/>
              <w:bidi w:val="0"/>
              <w:spacing w:before="0" w:after="0"/>
              <w:ind w:left="0" w:right="0" w:hanging="0"/>
              <w:jc w:val="left"/>
              <w:rPr/>
            </w:pPr>
            <w:r>
              <w:rPr/>
              <w:t> </w:t>
            </w:r>
          </w:p>
        </w:tc>
        <w:tc>
          <w:tcPr>
            <w:tcW w:w="994" w:type="dxa"/>
            <w:tcBorders/>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18,989</w:t>
            </w:r>
          </w:p>
        </w:tc>
      </w:tr>
      <w:tr>
        <w:trPr/>
        <w:tc>
          <w:tcPr>
            <w:tcW w:w="319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Inventories, net</w:t>
            </w:r>
          </w:p>
        </w:tc>
        <w:tc>
          <w:tcPr>
            <w:tcW w:w="346" w:type="dxa"/>
            <w:tcBorders/>
            <w:shd w:fill="CCEEFF" w:val="clear"/>
            <w:vAlign w:val="center"/>
          </w:tcPr>
          <w:p>
            <w:pPr>
              <w:pStyle w:val="TableContents"/>
              <w:bidi w:val="0"/>
              <w:spacing w:before="0" w:after="0"/>
              <w:ind w:left="0" w:right="0" w:hanging="0"/>
              <w:jc w:val="left"/>
              <w:rPr/>
            </w:pPr>
            <w:r>
              <w:rPr/>
              <w:t>​</w:t>
            </w:r>
          </w:p>
        </w:tc>
        <w:tc>
          <w:tcPr>
            <w:tcW w:w="277" w:type="dxa"/>
            <w:tcBorders/>
            <w:shd w:fill="CCEEFF" w:val="clear"/>
            <w:vAlign w:val="center"/>
          </w:tcPr>
          <w:p>
            <w:pPr>
              <w:pStyle w:val="TableContents"/>
              <w:bidi w:val="0"/>
              <w:spacing w:before="0" w:after="0"/>
              <w:ind w:left="0" w:right="0" w:hanging="0"/>
              <w:jc w:val="left"/>
              <w:rPr/>
            </w:pPr>
            <w:r>
              <w:rPr/>
              <w:t> </w:t>
            </w:r>
          </w:p>
        </w:tc>
        <w:tc>
          <w:tcPr>
            <w:tcW w:w="102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30,410</w:t>
            </w:r>
          </w:p>
        </w:tc>
        <w:tc>
          <w:tcPr>
            <w:tcW w:w="346" w:type="dxa"/>
            <w:tcBorders/>
            <w:shd w:fill="CCEEFF" w:val="clear"/>
            <w:vAlign w:val="center"/>
          </w:tcPr>
          <w:p>
            <w:pPr>
              <w:pStyle w:val="TableContents"/>
              <w:bidi w:val="0"/>
              <w:spacing w:before="0" w:after="0"/>
              <w:ind w:left="0" w:right="0" w:hanging="0"/>
              <w:jc w:val="left"/>
              <w:rPr/>
            </w:pPr>
            <w:r>
              <w:rPr/>
              <w:t>​</w:t>
            </w:r>
          </w:p>
        </w:tc>
        <w:tc>
          <w:tcPr>
            <w:tcW w:w="236" w:type="dxa"/>
            <w:tcBorders/>
            <w:shd w:fill="CCEEFF" w:val="clear"/>
            <w:vAlign w:val="center"/>
          </w:tcPr>
          <w:p>
            <w:pPr>
              <w:pStyle w:val="TableContents"/>
              <w:bidi w:val="0"/>
              <w:spacing w:before="0" w:after="0"/>
              <w:ind w:left="0" w:right="0" w:hanging="0"/>
              <w:jc w:val="left"/>
              <w:rPr/>
            </w:pPr>
            <w:r>
              <w:rPr/>
              <w:t> </w:t>
            </w:r>
          </w:p>
        </w:tc>
        <w:tc>
          <w:tcPr>
            <w:tcW w:w="994"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30,070</w:t>
            </w:r>
          </w:p>
        </w:tc>
      </w:tr>
      <w:tr>
        <w:trPr/>
        <w:tc>
          <w:tcPr>
            <w:tcW w:w="319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Prepaid expenses and other</w:t>
            </w:r>
          </w:p>
        </w:tc>
        <w:tc>
          <w:tcPr>
            <w:tcW w:w="346" w:type="dxa"/>
            <w:tcBorders/>
            <w:vAlign w:val="center"/>
          </w:tcPr>
          <w:p>
            <w:pPr>
              <w:pStyle w:val="TableContents"/>
              <w:bidi w:val="0"/>
              <w:spacing w:before="0" w:after="0"/>
              <w:ind w:left="0" w:right="0" w:hanging="0"/>
              <w:jc w:val="left"/>
              <w:rPr/>
            </w:pPr>
            <w:r>
              <w:rPr/>
              <w:t>​</w:t>
            </w:r>
          </w:p>
        </w:tc>
        <w:tc>
          <w:tcPr>
            <w:tcW w:w="277"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1028"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1,954</w:t>
            </w:r>
          </w:p>
        </w:tc>
        <w:tc>
          <w:tcPr>
            <w:tcW w:w="346" w:type="dxa"/>
            <w:tcBorders/>
            <w:vAlign w:val="center"/>
          </w:tcPr>
          <w:p>
            <w:pPr>
              <w:pStyle w:val="TableContents"/>
              <w:bidi w:val="0"/>
              <w:spacing w:before="0" w:after="0"/>
              <w:ind w:left="0" w:right="0" w:hanging="0"/>
              <w:jc w:val="left"/>
              <w:rPr/>
            </w:pPr>
            <w:r>
              <w:rPr/>
              <w:t>​</w:t>
            </w:r>
          </w:p>
        </w:tc>
        <w:tc>
          <w:tcPr>
            <w:tcW w:w="236"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994"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1,768</w:t>
            </w:r>
          </w:p>
        </w:tc>
      </w:tr>
      <w:tr>
        <w:trPr/>
        <w:tc>
          <w:tcPr>
            <w:tcW w:w="3196"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77" w:type="dxa"/>
            <w:tcBorders/>
            <w:shd w:fill="CCEEFF" w:val="clear"/>
            <w:vAlign w:val="center"/>
          </w:tcPr>
          <w:p>
            <w:pPr>
              <w:pStyle w:val="TableContents"/>
              <w:bidi w:val="0"/>
              <w:spacing w:before="0" w:after="0"/>
              <w:ind w:left="0" w:right="0" w:hanging="0"/>
              <w:jc w:val="left"/>
              <w:rPr/>
            </w:pPr>
            <w:r>
              <w:rPr/>
              <w:t>​</w:t>
            </w:r>
          </w:p>
        </w:tc>
        <w:tc>
          <w:tcPr>
            <w:tcW w:w="1028"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36" w:type="dxa"/>
            <w:tcBorders/>
            <w:shd w:fill="CCEEFF" w:val="clear"/>
            <w:vAlign w:val="center"/>
          </w:tcPr>
          <w:p>
            <w:pPr>
              <w:pStyle w:val="TableContents"/>
              <w:bidi w:val="0"/>
              <w:spacing w:before="0" w:after="0"/>
              <w:ind w:left="0" w:right="0" w:hanging="0"/>
              <w:jc w:val="left"/>
              <w:rPr/>
            </w:pPr>
            <w:r>
              <w:rPr/>
              <w:t>​</w:t>
            </w:r>
          </w:p>
        </w:tc>
        <w:tc>
          <w:tcPr>
            <w:tcW w:w="994" w:type="dxa"/>
            <w:tcBorders/>
            <w:shd w:fill="CCEEFF" w:val="clear"/>
            <w:vAlign w:val="center"/>
          </w:tcPr>
          <w:p>
            <w:pPr>
              <w:pStyle w:val="TableContents"/>
              <w:bidi w:val="0"/>
              <w:spacing w:before="0" w:after="0"/>
              <w:ind w:left="0" w:right="0" w:hanging="0"/>
              <w:jc w:val="left"/>
              <w:rPr/>
            </w:pPr>
            <w:r>
              <w:rPr/>
              <w:t>​</w:t>
            </w:r>
          </w:p>
        </w:tc>
      </w:tr>
      <w:tr>
        <w:trPr/>
        <w:tc>
          <w:tcPr>
            <w:tcW w:w="319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current assets</w:t>
            </w:r>
          </w:p>
        </w:tc>
        <w:tc>
          <w:tcPr>
            <w:tcW w:w="346" w:type="dxa"/>
            <w:tcBorders/>
            <w:vAlign w:val="center"/>
          </w:tcPr>
          <w:p>
            <w:pPr>
              <w:pStyle w:val="TableContents"/>
              <w:bidi w:val="0"/>
              <w:spacing w:before="0" w:after="0"/>
              <w:ind w:left="0" w:right="0" w:hanging="0"/>
              <w:jc w:val="left"/>
              <w:rPr/>
            </w:pPr>
            <w:r>
              <w:rPr/>
              <w:t>​</w:t>
            </w:r>
          </w:p>
        </w:tc>
        <w:tc>
          <w:tcPr>
            <w:tcW w:w="277"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1028"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159,903</w:t>
            </w:r>
          </w:p>
        </w:tc>
        <w:tc>
          <w:tcPr>
            <w:tcW w:w="346" w:type="dxa"/>
            <w:tcBorders/>
            <w:vAlign w:val="center"/>
          </w:tcPr>
          <w:p>
            <w:pPr>
              <w:pStyle w:val="TableContents"/>
              <w:bidi w:val="0"/>
              <w:spacing w:before="0" w:after="0"/>
              <w:ind w:left="0" w:right="0" w:hanging="0"/>
              <w:jc w:val="left"/>
              <w:rPr/>
            </w:pPr>
            <w:r>
              <w:rPr/>
              <w:t>​</w:t>
            </w:r>
          </w:p>
        </w:tc>
        <w:tc>
          <w:tcPr>
            <w:tcW w:w="236"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994"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155,861</w:t>
            </w:r>
          </w:p>
        </w:tc>
      </w:tr>
      <w:tr>
        <w:trPr/>
        <w:tc>
          <w:tcPr>
            <w:tcW w:w="3196"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77" w:type="dxa"/>
            <w:tcBorders/>
            <w:shd w:fill="CCEEFF" w:val="clear"/>
            <w:vAlign w:val="center"/>
          </w:tcPr>
          <w:p>
            <w:pPr>
              <w:pStyle w:val="TableContents"/>
              <w:bidi w:val="0"/>
              <w:spacing w:before="0" w:after="0"/>
              <w:ind w:left="0" w:right="0" w:hanging="0"/>
              <w:jc w:val="left"/>
              <w:rPr/>
            </w:pPr>
            <w:r>
              <w:rPr/>
              <w:t>​</w:t>
            </w:r>
          </w:p>
        </w:tc>
        <w:tc>
          <w:tcPr>
            <w:tcW w:w="1028"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36" w:type="dxa"/>
            <w:tcBorders/>
            <w:shd w:fill="CCEEFF" w:val="clear"/>
            <w:vAlign w:val="center"/>
          </w:tcPr>
          <w:p>
            <w:pPr>
              <w:pStyle w:val="TableContents"/>
              <w:bidi w:val="0"/>
              <w:spacing w:before="0" w:after="0"/>
              <w:ind w:left="0" w:right="0" w:hanging="0"/>
              <w:jc w:val="left"/>
              <w:rPr/>
            </w:pPr>
            <w:r>
              <w:rPr/>
              <w:t>​</w:t>
            </w:r>
          </w:p>
        </w:tc>
        <w:tc>
          <w:tcPr>
            <w:tcW w:w="994" w:type="dxa"/>
            <w:tcBorders/>
            <w:shd w:fill="CCEEFF" w:val="clear"/>
            <w:vAlign w:val="center"/>
          </w:tcPr>
          <w:p>
            <w:pPr>
              <w:pStyle w:val="TableContents"/>
              <w:bidi w:val="0"/>
              <w:spacing w:before="0" w:after="0"/>
              <w:ind w:left="0" w:right="0" w:hanging="0"/>
              <w:jc w:val="left"/>
              <w:rPr/>
            </w:pPr>
            <w:r>
              <w:rPr/>
              <w:t>​</w:t>
            </w:r>
          </w:p>
        </w:tc>
      </w:tr>
      <w:tr>
        <w:trPr/>
        <w:tc>
          <w:tcPr>
            <w:tcW w:w="319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 assets:</w:t>
            </w:r>
          </w:p>
        </w:tc>
        <w:tc>
          <w:tcPr>
            <w:tcW w:w="346" w:type="dxa"/>
            <w:tcBorders/>
            <w:vAlign w:val="center"/>
          </w:tcPr>
          <w:p>
            <w:pPr>
              <w:pStyle w:val="TableContents"/>
              <w:bidi w:val="0"/>
              <w:spacing w:before="0" w:after="0"/>
              <w:ind w:left="0" w:right="0" w:hanging="0"/>
              <w:jc w:val="left"/>
              <w:rPr/>
            </w:pPr>
            <w:r>
              <w:rPr/>
              <w:t>​</w:t>
            </w:r>
          </w:p>
        </w:tc>
        <w:tc>
          <w:tcPr>
            <w:tcW w:w="277" w:type="dxa"/>
            <w:tcBorders/>
            <w:vAlign w:val="center"/>
          </w:tcPr>
          <w:p>
            <w:pPr>
              <w:pStyle w:val="TableContents"/>
              <w:bidi w:val="0"/>
              <w:spacing w:before="0" w:after="0"/>
              <w:ind w:left="0" w:right="0" w:hanging="0"/>
              <w:jc w:val="left"/>
              <w:rPr/>
            </w:pPr>
            <w:r>
              <w:rPr/>
              <w:t> </w:t>
            </w:r>
          </w:p>
        </w:tc>
        <w:tc>
          <w:tcPr>
            <w:tcW w:w="1028" w:type="dxa"/>
            <w:tcBorders/>
            <w:vAlign w:val="center"/>
          </w:tcPr>
          <w:p>
            <w:pPr>
              <w:pStyle w:val="TableContents"/>
              <w:bidi w:val="0"/>
              <w:spacing w:before="0" w:after="0"/>
              <w:ind w:left="0" w:right="0" w:hanging="0"/>
              <w:jc w:val="right"/>
              <w:rPr/>
            </w:pPr>
            <w:r>
              <w:rPr/>
              <w:t>  ​</w:t>
            </w:r>
          </w:p>
        </w:tc>
        <w:tc>
          <w:tcPr>
            <w:tcW w:w="346" w:type="dxa"/>
            <w:tcBorders/>
            <w:vAlign w:val="center"/>
          </w:tcPr>
          <w:p>
            <w:pPr>
              <w:pStyle w:val="TableContents"/>
              <w:bidi w:val="0"/>
              <w:spacing w:before="0" w:after="0"/>
              <w:ind w:left="0" w:right="0" w:hanging="0"/>
              <w:jc w:val="left"/>
              <w:rPr/>
            </w:pPr>
            <w:r>
              <w:rPr/>
              <w:t>​</w:t>
            </w:r>
          </w:p>
        </w:tc>
        <w:tc>
          <w:tcPr>
            <w:tcW w:w="236" w:type="dxa"/>
            <w:tcBorders/>
            <w:vAlign w:val="center"/>
          </w:tcPr>
          <w:p>
            <w:pPr>
              <w:pStyle w:val="TableContents"/>
              <w:bidi w:val="0"/>
              <w:spacing w:before="0" w:after="0"/>
              <w:ind w:left="0" w:right="0" w:hanging="0"/>
              <w:jc w:val="left"/>
              <w:rPr/>
            </w:pPr>
            <w:r>
              <w:rPr/>
              <w:t> </w:t>
            </w:r>
          </w:p>
        </w:tc>
        <w:tc>
          <w:tcPr>
            <w:tcW w:w="994" w:type="dxa"/>
            <w:tcBorders/>
            <w:vAlign w:val="center"/>
          </w:tcPr>
          <w:p>
            <w:pPr>
              <w:pStyle w:val="TableContents"/>
              <w:bidi w:val="0"/>
              <w:spacing w:before="0" w:after="0"/>
              <w:ind w:left="0" w:right="0" w:hanging="0"/>
              <w:jc w:val="right"/>
              <w:rPr/>
            </w:pPr>
            <w:r>
              <w:rPr/>
              <w:t>  ​</w:t>
            </w:r>
          </w:p>
        </w:tc>
      </w:tr>
      <w:tr>
        <w:trPr/>
        <w:tc>
          <w:tcPr>
            <w:tcW w:w="319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Note receivable from affiliate</w:t>
            </w:r>
          </w:p>
        </w:tc>
        <w:tc>
          <w:tcPr>
            <w:tcW w:w="346" w:type="dxa"/>
            <w:tcBorders/>
            <w:shd w:fill="CCEEFF" w:val="clear"/>
            <w:vAlign w:val="center"/>
          </w:tcPr>
          <w:p>
            <w:pPr>
              <w:pStyle w:val="TableContents"/>
              <w:bidi w:val="0"/>
              <w:spacing w:before="0" w:after="0"/>
              <w:ind w:left="0" w:right="0" w:hanging="0"/>
              <w:jc w:val="left"/>
              <w:rPr/>
            </w:pPr>
            <w:r>
              <w:rPr/>
              <w:t>​</w:t>
            </w:r>
          </w:p>
        </w:tc>
        <w:tc>
          <w:tcPr>
            <w:tcW w:w="277" w:type="dxa"/>
            <w:tcBorders/>
            <w:shd w:fill="CCEEFF" w:val="clear"/>
            <w:vAlign w:val="center"/>
          </w:tcPr>
          <w:p>
            <w:pPr>
              <w:pStyle w:val="TableContents"/>
              <w:bidi w:val="0"/>
              <w:spacing w:before="0" w:after="0"/>
              <w:ind w:left="0" w:right="0" w:hanging="0"/>
              <w:jc w:val="left"/>
              <w:rPr/>
            </w:pPr>
            <w:r>
              <w:rPr/>
              <w:t> </w:t>
            </w:r>
          </w:p>
        </w:tc>
        <w:tc>
          <w:tcPr>
            <w:tcW w:w="102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8,000</w:t>
            </w:r>
          </w:p>
        </w:tc>
        <w:tc>
          <w:tcPr>
            <w:tcW w:w="346" w:type="dxa"/>
            <w:tcBorders/>
            <w:shd w:fill="CCEEFF" w:val="clear"/>
            <w:vAlign w:val="center"/>
          </w:tcPr>
          <w:p>
            <w:pPr>
              <w:pStyle w:val="TableContents"/>
              <w:bidi w:val="0"/>
              <w:spacing w:before="0" w:after="0"/>
              <w:ind w:left="0" w:right="0" w:hanging="0"/>
              <w:jc w:val="left"/>
              <w:rPr/>
            </w:pPr>
            <w:r>
              <w:rPr/>
              <w:t>​</w:t>
            </w:r>
          </w:p>
        </w:tc>
        <w:tc>
          <w:tcPr>
            <w:tcW w:w="236" w:type="dxa"/>
            <w:tcBorders/>
            <w:shd w:fill="CCEEFF" w:val="clear"/>
            <w:vAlign w:val="center"/>
          </w:tcPr>
          <w:p>
            <w:pPr>
              <w:pStyle w:val="TableContents"/>
              <w:bidi w:val="0"/>
              <w:spacing w:before="0" w:after="0"/>
              <w:ind w:left="0" w:right="0" w:hanging="0"/>
              <w:jc w:val="left"/>
              <w:rPr/>
            </w:pPr>
            <w:r>
              <w:rPr/>
              <w:t> </w:t>
            </w:r>
          </w:p>
        </w:tc>
        <w:tc>
          <w:tcPr>
            <w:tcW w:w="994"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7,400</w:t>
            </w:r>
          </w:p>
        </w:tc>
      </w:tr>
      <w:tr>
        <w:trPr/>
        <w:tc>
          <w:tcPr>
            <w:tcW w:w="319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Marketable securities</w:t>
            </w:r>
          </w:p>
        </w:tc>
        <w:tc>
          <w:tcPr>
            <w:tcW w:w="346" w:type="dxa"/>
            <w:tcBorders/>
            <w:vAlign w:val="center"/>
          </w:tcPr>
          <w:p>
            <w:pPr>
              <w:pStyle w:val="TableContents"/>
              <w:bidi w:val="0"/>
              <w:spacing w:before="0" w:after="0"/>
              <w:ind w:left="0" w:right="0" w:hanging="0"/>
              <w:jc w:val="left"/>
              <w:rPr/>
            </w:pPr>
            <w:r>
              <w:rPr/>
              <w:t>​</w:t>
            </w:r>
          </w:p>
        </w:tc>
        <w:tc>
          <w:tcPr>
            <w:tcW w:w="277" w:type="dxa"/>
            <w:tcBorders/>
            <w:vAlign w:val="center"/>
          </w:tcPr>
          <w:p>
            <w:pPr>
              <w:pStyle w:val="TableContents"/>
              <w:bidi w:val="0"/>
              <w:spacing w:before="0" w:after="0"/>
              <w:ind w:left="0" w:right="0" w:hanging="0"/>
              <w:jc w:val="left"/>
              <w:rPr/>
            </w:pPr>
            <w:r>
              <w:rPr/>
              <w:t> </w:t>
            </w:r>
          </w:p>
        </w:tc>
        <w:tc>
          <w:tcPr>
            <w:tcW w:w="1028"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14,433</w:t>
            </w:r>
          </w:p>
        </w:tc>
        <w:tc>
          <w:tcPr>
            <w:tcW w:w="346" w:type="dxa"/>
            <w:tcBorders/>
            <w:vAlign w:val="center"/>
          </w:tcPr>
          <w:p>
            <w:pPr>
              <w:pStyle w:val="TableContents"/>
              <w:bidi w:val="0"/>
              <w:spacing w:before="0" w:after="0"/>
              <w:ind w:left="0" w:right="0" w:hanging="0"/>
              <w:jc w:val="left"/>
              <w:rPr/>
            </w:pPr>
            <w:r>
              <w:rPr/>
              <w:t>​</w:t>
            </w:r>
          </w:p>
        </w:tc>
        <w:tc>
          <w:tcPr>
            <w:tcW w:w="236" w:type="dxa"/>
            <w:tcBorders/>
            <w:vAlign w:val="center"/>
          </w:tcPr>
          <w:p>
            <w:pPr>
              <w:pStyle w:val="TableContents"/>
              <w:bidi w:val="0"/>
              <w:spacing w:before="0" w:after="0"/>
              <w:ind w:left="0" w:right="0" w:hanging="0"/>
              <w:jc w:val="left"/>
              <w:rPr/>
            </w:pPr>
            <w:r>
              <w:rPr/>
              <w:t> </w:t>
            </w:r>
          </w:p>
        </w:tc>
        <w:tc>
          <w:tcPr>
            <w:tcW w:w="994" w:type="dxa"/>
            <w:tcBorders/>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17,128</w:t>
            </w:r>
          </w:p>
        </w:tc>
      </w:tr>
      <w:tr>
        <w:trPr/>
        <w:tc>
          <w:tcPr>
            <w:tcW w:w="319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Investment in Kronos Worldwide, Inc.</w:t>
            </w:r>
          </w:p>
        </w:tc>
        <w:tc>
          <w:tcPr>
            <w:tcW w:w="346" w:type="dxa"/>
            <w:tcBorders/>
            <w:shd w:fill="CCEEFF" w:val="clear"/>
            <w:vAlign w:val="center"/>
          </w:tcPr>
          <w:p>
            <w:pPr>
              <w:pStyle w:val="TableContents"/>
              <w:bidi w:val="0"/>
              <w:spacing w:before="0" w:after="0"/>
              <w:ind w:left="0" w:right="0" w:hanging="0"/>
              <w:jc w:val="left"/>
              <w:rPr/>
            </w:pPr>
            <w:r>
              <w:rPr/>
              <w:t>​</w:t>
            </w:r>
          </w:p>
        </w:tc>
        <w:tc>
          <w:tcPr>
            <w:tcW w:w="277" w:type="dxa"/>
            <w:tcBorders/>
            <w:shd w:fill="CCEEFF" w:val="clear"/>
            <w:vAlign w:val="center"/>
          </w:tcPr>
          <w:p>
            <w:pPr>
              <w:pStyle w:val="TableContents"/>
              <w:bidi w:val="0"/>
              <w:spacing w:before="0" w:after="0"/>
              <w:ind w:left="0" w:right="0" w:hanging="0"/>
              <w:jc w:val="left"/>
              <w:rPr/>
            </w:pPr>
            <w:r>
              <w:rPr/>
              <w:t> </w:t>
            </w:r>
          </w:p>
        </w:tc>
        <w:tc>
          <w:tcPr>
            <w:tcW w:w="102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230,088</w:t>
            </w:r>
          </w:p>
        </w:tc>
        <w:tc>
          <w:tcPr>
            <w:tcW w:w="346" w:type="dxa"/>
            <w:tcBorders/>
            <w:shd w:fill="CCEEFF" w:val="clear"/>
            <w:vAlign w:val="center"/>
          </w:tcPr>
          <w:p>
            <w:pPr>
              <w:pStyle w:val="TableContents"/>
              <w:bidi w:val="0"/>
              <w:spacing w:before="0" w:after="0"/>
              <w:ind w:left="0" w:right="0" w:hanging="0"/>
              <w:jc w:val="left"/>
              <w:rPr/>
            </w:pPr>
            <w:r>
              <w:rPr/>
              <w:t>​</w:t>
            </w:r>
          </w:p>
        </w:tc>
        <w:tc>
          <w:tcPr>
            <w:tcW w:w="236" w:type="dxa"/>
            <w:tcBorders/>
            <w:shd w:fill="CCEEFF" w:val="clear"/>
            <w:vAlign w:val="center"/>
          </w:tcPr>
          <w:p>
            <w:pPr>
              <w:pStyle w:val="TableContents"/>
              <w:bidi w:val="0"/>
              <w:spacing w:before="0" w:after="0"/>
              <w:ind w:left="0" w:right="0" w:hanging="0"/>
              <w:jc w:val="left"/>
              <w:rPr/>
            </w:pPr>
            <w:r>
              <w:rPr/>
              <w:t> </w:t>
            </w:r>
          </w:p>
        </w:tc>
        <w:tc>
          <w:tcPr>
            <w:tcW w:w="994"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228,245</w:t>
            </w:r>
          </w:p>
        </w:tc>
      </w:tr>
      <w:tr>
        <w:trPr/>
        <w:tc>
          <w:tcPr>
            <w:tcW w:w="319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Goodwill</w:t>
            </w:r>
          </w:p>
        </w:tc>
        <w:tc>
          <w:tcPr>
            <w:tcW w:w="346" w:type="dxa"/>
            <w:tcBorders/>
            <w:vAlign w:val="center"/>
          </w:tcPr>
          <w:p>
            <w:pPr>
              <w:pStyle w:val="TableContents"/>
              <w:bidi w:val="0"/>
              <w:spacing w:before="0" w:after="0"/>
              <w:ind w:left="0" w:right="0" w:hanging="0"/>
              <w:jc w:val="left"/>
              <w:rPr/>
            </w:pPr>
            <w:r>
              <w:rPr/>
              <w:t>​</w:t>
            </w:r>
          </w:p>
        </w:tc>
        <w:tc>
          <w:tcPr>
            <w:tcW w:w="277" w:type="dxa"/>
            <w:tcBorders/>
            <w:vAlign w:val="center"/>
          </w:tcPr>
          <w:p>
            <w:pPr>
              <w:pStyle w:val="TableContents"/>
              <w:bidi w:val="0"/>
              <w:spacing w:before="0" w:after="0"/>
              <w:ind w:left="0" w:right="0" w:hanging="0"/>
              <w:jc w:val="left"/>
              <w:rPr/>
            </w:pPr>
            <w:r>
              <w:rPr/>
              <w:t> </w:t>
            </w:r>
          </w:p>
        </w:tc>
        <w:tc>
          <w:tcPr>
            <w:tcW w:w="1028"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27,156</w:t>
            </w:r>
          </w:p>
        </w:tc>
        <w:tc>
          <w:tcPr>
            <w:tcW w:w="346" w:type="dxa"/>
            <w:tcBorders/>
            <w:vAlign w:val="center"/>
          </w:tcPr>
          <w:p>
            <w:pPr>
              <w:pStyle w:val="TableContents"/>
              <w:bidi w:val="0"/>
              <w:spacing w:before="0" w:after="0"/>
              <w:ind w:left="0" w:right="0" w:hanging="0"/>
              <w:jc w:val="left"/>
              <w:rPr/>
            </w:pPr>
            <w:r>
              <w:rPr/>
              <w:t>​</w:t>
            </w:r>
          </w:p>
        </w:tc>
        <w:tc>
          <w:tcPr>
            <w:tcW w:w="236" w:type="dxa"/>
            <w:tcBorders/>
            <w:vAlign w:val="center"/>
          </w:tcPr>
          <w:p>
            <w:pPr>
              <w:pStyle w:val="TableContents"/>
              <w:bidi w:val="0"/>
              <w:spacing w:before="0" w:after="0"/>
              <w:ind w:left="0" w:right="0" w:hanging="0"/>
              <w:jc w:val="left"/>
              <w:rPr/>
            </w:pPr>
            <w:r>
              <w:rPr/>
              <w:t> </w:t>
            </w:r>
          </w:p>
        </w:tc>
        <w:tc>
          <w:tcPr>
            <w:tcW w:w="994" w:type="dxa"/>
            <w:tcBorders/>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27,156</w:t>
            </w:r>
          </w:p>
        </w:tc>
      </w:tr>
      <w:tr>
        <w:trPr/>
        <w:tc>
          <w:tcPr>
            <w:tcW w:w="319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Operating lease right-of-use asset</w:t>
            </w:r>
          </w:p>
        </w:tc>
        <w:tc>
          <w:tcPr>
            <w:tcW w:w="346" w:type="dxa"/>
            <w:tcBorders/>
            <w:shd w:fill="CCEEFF" w:val="clear"/>
            <w:vAlign w:val="center"/>
          </w:tcPr>
          <w:p>
            <w:pPr>
              <w:pStyle w:val="TableContents"/>
              <w:bidi w:val="0"/>
              <w:spacing w:before="0" w:after="0"/>
              <w:ind w:left="0" w:right="0" w:hanging="0"/>
              <w:jc w:val="left"/>
              <w:rPr/>
            </w:pPr>
            <w:r>
              <w:rPr/>
              <w:t>​</w:t>
            </w:r>
          </w:p>
        </w:tc>
        <w:tc>
          <w:tcPr>
            <w:tcW w:w="277" w:type="dxa"/>
            <w:tcBorders/>
            <w:shd w:fill="CCEEFF" w:val="clear"/>
            <w:vAlign w:val="center"/>
          </w:tcPr>
          <w:p>
            <w:pPr>
              <w:pStyle w:val="TableContents"/>
              <w:bidi w:val="0"/>
              <w:spacing w:before="0" w:after="0"/>
              <w:ind w:left="0" w:right="0" w:hanging="0"/>
              <w:jc w:val="left"/>
              <w:rPr/>
            </w:pPr>
            <w:r>
              <w:rPr/>
              <w:t>​</w:t>
            </w:r>
          </w:p>
        </w:tc>
        <w:tc>
          <w:tcPr>
            <w:tcW w:w="1028"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36" w:type="dxa"/>
            <w:tcBorders/>
            <w:shd w:fill="CCEEFF" w:val="clear"/>
            <w:vAlign w:val="center"/>
          </w:tcPr>
          <w:p>
            <w:pPr>
              <w:pStyle w:val="TableContents"/>
              <w:bidi w:val="0"/>
              <w:spacing w:before="0" w:after="0"/>
              <w:ind w:left="0" w:right="0" w:hanging="0"/>
              <w:jc w:val="left"/>
              <w:rPr/>
            </w:pPr>
            <w:r>
              <w:rPr/>
              <w:t>​</w:t>
            </w:r>
          </w:p>
        </w:tc>
        <w:tc>
          <w:tcPr>
            <w:tcW w:w="994"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1,014</w:t>
            </w:r>
          </w:p>
        </w:tc>
      </w:tr>
      <w:tr>
        <w:trPr/>
        <w:tc>
          <w:tcPr>
            <w:tcW w:w="319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 assets, net</w:t>
            </w:r>
          </w:p>
        </w:tc>
        <w:tc>
          <w:tcPr>
            <w:tcW w:w="346" w:type="dxa"/>
            <w:tcBorders/>
            <w:vAlign w:val="center"/>
          </w:tcPr>
          <w:p>
            <w:pPr>
              <w:pStyle w:val="TableContents"/>
              <w:bidi w:val="0"/>
              <w:spacing w:before="0" w:after="0"/>
              <w:ind w:left="0" w:right="0" w:hanging="0"/>
              <w:jc w:val="left"/>
              <w:rPr/>
            </w:pPr>
            <w:r>
              <w:rPr/>
              <w:t>​</w:t>
            </w:r>
          </w:p>
        </w:tc>
        <w:tc>
          <w:tcPr>
            <w:tcW w:w="277"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1028"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931</w:t>
            </w:r>
          </w:p>
        </w:tc>
        <w:tc>
          <w:tcPr>
            <w:tcW w:w="346" w:type="dxa"/>
            <w:tcBorders/>
            <w:vAlign w:val="center"/>
          </w:tcPr>
          <w:p>
            <w:pPr>
              <w:pStyle w:val="TableContents"/>
              <w:bidi w:val="0"/>
              <w:spacing w:before="0" w:after="0"/>
              <w:ind w:left="0" w:right="0" w:hanging="0"/>
              <w:jc w:val="left"/>
              <w:rPr/>
            </w:pPr>
            <w:r>
              <w:rPr/>
              <w:t>​</w:t>
            </w:r>
          </w:p>
        </w:tc>
        <w:tc>
          <w:tcPr>
            <w:tcW w:w="236"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994"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935</w:t>
            </w:r>
          </w:p>
        </w:tc>
      </w:tr>
      <w:tr>
        <w:trPr/>
        <w:tc>
          <w:tcPr>
            <w:tcW w:w="3196"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77" w:type="dxa"/>
            <w:tcBorders/>
            <w:shd w:fill="CCEEFF" w:val="clear"/>
            <w:vAlign w:val="center"/>
          </w:tcPr>
          <w:p>
            <w:pPr>
              <w:pStyle w:val="TableContents"/>
              <w:bidi w:val="0"/>
              <w:spacing w:before="0" w:after="0"/>
              <w:ind w:left="0" w:right="0" w:hanging="0"/>
              <w:jc w:val="left"/>
              <w:rPr/>
            </w:pPr>
            <w:r>
              <w:rPr/>
              <w:t>​</w:t>
            </w:r>
          </w:p>
        </w:tc>
        <w:tc>
          <w:tcPr>
            <w:tcW w:w="1028"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36" w:type="dxa"/>
            <w:tcBorders/>
            <w:shd w:fill="CCEEFF" w:val="clear"/>
            <w:vAlign w:val="center"/>
          </w:tcPr>
          <w:p>
            <w:pPr>
              <w:pStyle w:val="TableContents"/>
              <w:bidi w:val="0"/>
              <w:spacing w:before="0" w:after="0"/>
              <w:ind w:left="0" w:right="0" w:hanging="0"/>
              <w:jc w:val="left"/>
              <w:rPr/>
            </w:pPr>
            <w:r>
              <w:rPr/>
              <w:t>​</w:t>
            </w:r>
          </w:p>
        </w:tc>
        <w:tc>
          <w:tcPr>
            <w:tcW w:w="994" w:type="dxa"/>
            <w:tcBorders/>
            <w:shd w:fill="CCEEFF" w:val="clear"/>
            <w:vAlign w:val="center"/>
          </w:tcPr>
          <w:p>
            <w:pPr>
              <w:pStyle w:val="TableContents"/>
              <w:bidi w:val="0"/>
              <w:spacing w:before="0" w:after="0"/>
              <w:ind w:left="0" w:right="0" w:hanging="0"/>
              <w:jc w:val="left"/>
              <w:rPr/>
            </w:pPr>
            <w:r>
              <w:rPr/>
              <w:t>​</w:t>
            </w:r>
          </w:p>
        </w:tc>
      </w:tr>
      <w:tr>
        <w:trPr/>
        <w:tc>
          <w:tcPr>
            <w:tcW w:w="319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other assets</w:t>
            </w:r>
          </w:p>
        </w:tc>
        <w:tc>
          <w:tcPr>
            <w:tcW w:w="346" w:type="dxa"/>
            <w:tcBorders/>
            <w:vAlign w:val="center"/>
          </w:tcPr>
          <w:p>
            <w:pPr>
              <w:pStyle w:val="TableContents"/>
              <w:bidi w:val="0"/>
              <w:spacing w:before="0" w:after="0"/>
              <w:ind w:left="0" w:right="0" w:hanging="0"/>
              <w:jc w:val="left"/>
              <w:rPr/>
            </w:pPr>
            <w:r>
              <w:rPr/>
              <w:t>​</w:t>
            </w:r>
          </w:p>
        </w:tc>
        <w:tc>
          <w:tcPr>
            <w:tcW w:w="277"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1028"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280,608</w:t>
            </w:r>
          </w:p>
        </w:tc>
        <w:tc>
          <w:tcPr>
            <w:tcW w:w="346" w:type="dxa"/>
            <w:tcBorders/>
            <w:vAlign w:val="center"/>
          </w:tcPr>
          <w:p>
            <w:pPr>
              <w:pStyle w:val="TableContents"/>
              <w:bidi w:val="0"/>
              <w:spacing w:before="0" w:after="0"/>
              <w:ind w:left="0" w:right="0" w:hanging="0"/>
              <w:jc w:val="left"/>
              <w:rPr/>
            </w:pPr>
            <w:r>
              <w:rPr/>
              <w:t>​</w:t>
            </w:r>
          </w:p>
        </w:tc>
        <w:tc>
          <w:tcPr>
            <w:tcW w:w="236"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994"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281,878</w:t>
            </w:r>
          </w:p>
        </w:tc>
      </w:tr>
      <w:tr>
        <w:trPr/>
        <w:tc>
          <w:tcPr>
            <w:tcW w:w="3196"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77" w:type="dxa"/>
            <w:tcBorders/>
            <w:shd w:fill="CCEEFF" w:val="clear"/>
            <w:vAlign w:val="center"/>
          </w:tcPr>
          <w:p>
            <w:pPr>
              <w:pStyle w:val="TableContents"/>
              <w:bidi w:val="0"/>
              <w:spacing w:before="0" w:after="0"/>
              <w:ind w:left="0" w:right="0" w:hanging="0"/>
              <w:jc w:val="left"/>
              <w:rPr/>
            </w:pPr>
            <w:r>
              <w:rPr/>
              <w:t>​</w:t>
            </w:r>
          </w:p>
        </w:tc>
        <w:tc>
          <w:tcPr>
            <w:tcW w:w="1028"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36" w:type="dxa"/>
            <w:tcBorders/>
            <w:shd w:fill="CCEEFF" w:val="clear"/>
            <w:vAlign w:val="center"/>
          </w:tcPr>
          <w:p>
            <w:pPr>
              <w:pStyle w:val="TableContents"/>
              <w:bidi w:val="0"/>
              <w:spacing w:before="0" w:after="0"/>
              <w:ind w:left="0" w:right="0" w:hanging="0"/>
              <w:jc w:val="left"/>
              <w:rPr/>
            </w:pPr>
            <w:r>
              <w:rPr/>
              <w:t>​</w:t>
            </w:r>
          </w:p>
        </w:tc>
        <w:tc>
          <w:tcPr>
            <w:tcW w:w="994" w:type="dxa"/>
            <w:tcBorders/>
            <w:shd w:fill="CCEEFF" w:val="clear"/>
            <w:vAlign w:val="center"/>
          </w:tcPr>
          <w:p>
            <w:pPr>
              <w:pStyle w:val="TableContents"/>
              <w:bidi w:val="0"/>
              <w:spacing w:before="0" w:after="0"/>
              <w:ind w:left="0" w:right="0" w:hanging="0"/>
              <w:jc w:val="left"/>
              <w:rPr/>
            </w:pPr>
            <w:r>
              <w:rPr/>
              <w:t>​</w:t>
            </w:r>
          </w:p>
        </w:tc>
      </w:tr>
      <w:tr>
        <w:trPr/>
        <w:tc>
          <w:tcPr>
            <w:tcW w:w="319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Property and equipment:</w:t>
            </w:r>
          </w:p>
        </w:tc>
        <w:tc>
          <w:tcPr>
            <w:tcW w:w="346" w:type="dxa"/>
            <w:tcBorders/>
            <w:vAlign w:val="center"/>
          </w:tcPr>
          <w:p>
            <w:pPr>
              <w:pStyle w:val="TableContents"/>
              <w:bidi w:val="0"/>
              <w:spacing w:before="0" w:after="0"/>
              <w:ind w:left="0" w:right="0" w:hanging="0"/>
              <w:jc w:val="left"/>
              <w:rPr/>
            </w:pPr>
            <w:r>
              <w:rPr/>
              <w:t>​</w:t>
            </w:r>
          </w:p>
        </w:tc>
        <w:tc>
          <w:tcPr>
            <w:tcW w:w="277" w:type="dxa"/>
            <w:tcBorders/>
            <w:vAlign w:val="center"/>
          </w:tcPr>
          <w:p>
            <w:pPr>
              <w:pStyle w:val="TableContents"/>
              <w:bidi w:val="0"/>
              <w:spacing w:before="0" w:after="0"/>
              <w:ind w:left="0" w:right="0" w:hanging="0"/>
              <w:jc w:val="left"/>
              <w:rPr/>
            </w:pPr>
            <w:r>
              <w:rPr/>
              <w:t> </w:t>
            </w:r>
          </w:p>
        </w:tc>
        <w:tc>
          <w:tcPr>
            <w:tcW w:w="1028" w:type="dxa"/>
            <w:tcBorders/>
            <w:vAlign w:val="center"/>
          </w:tcPr>
          <w:p>
            <w:pPr>
              <w:pStyle w:val="TableContents"/>
              <w:bidi w:val="0"/>
              <w:spacing w:before="0" w:after="0"/>
              <w:ind w:left="0" w:right="0" w:hanging="0"/>
              <w:jc w:val="right"/>
              <w:rPr/>
            </w:pPr>
            <w:r>
              <w:rPr/>
              <w:t>  ​</w:t>
            </w:r>
          </w:p>
        </w:tc>
        <w:tc>
          <w:tcPr>
            <w:tcW w:w="346" w:type="dxa"/>
            <w:tcBorders/>
            <w:vAlign w:val="center"/>
          </w:tcPr>
          <w:p>
            <w:pPr>
              <w:pStyle w:val="TableContents"/>
              <w:bidi w:val="0"/>
              <w:spacing w:before="0" w:after="0"/>
              <w:ind w:left="0" w:right="0" w:hanging="0"/>
              <w:jc w:val="left"/>
              <w:rPr/>
            </w:pPr>
            <w:r>
              <w:rPr/>
              <w:t>​</w:t>
            </w:r>
          </w:p>
        </w:tc>
        <w:tc>
          <w:tcPr>
            <w:tcW w:w="236" w:type="dxa"/>
            <w:tcBorders/>
            <w:vAlign w:val="center"/>
          </w:tcPr>
          <w:p>
            <w:pPr>
              <w:pStyle w:val="TableContents"/>
              <w:bidi w:val="0"/>
              <w:spacing w:before="0" w:after="0"/>
              <w:ind w:left="0" w:right="0" w:hanging="0"/>
              <w:jc w:val="left"/>
              <w:rPr/>
            </w:pPr>
            <w:r>
              <w:rPr/>
              <w:t> </w:t>
            </w:r>
          </w:p>
        </w:tc>
        <w:tc>
          <w:tcPr>
            <w:tcW w:w="994" w:type="dxa"/>
            <w:tcBorders/>
            <w:vAlign w:val="center"/>
          </w:tcPr>
          <w:p>
            <w:pPr>
              <w:pStyle w:val="TableContents"/>
              <w:bidi w:val="0"/>
              <w:spacing w:before="0" w:after="0"/>
              <w:ind w:left="0" w:right="0" w:hanging="0"/>
              <w:jc w:val="right"/>
              <w:rPr/>
            </w:pPr>
            <w:r>
              <w:rPr/>
              <w:t>  ​</w:t>
            </w:r>
          </w:p>
        </w:tc>
      </w:tr>
      <w:tr>
        <w:trPr/>
        <w:tc>
          <w:tcPr>
            <w:tcW w:w="319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Land</w:t>
            </w:r>
          </w:p>
        </w:tc>
        <w:tc>
          <w:tcPr>
            <w:tcW w:w="346" w:type="dxa"/>
            <w:tcBorders/>
            <w:shd w:fill="CCEEFF" w:val="clear"/>
            <w:vAlign w:val="center"/>
          </w:tcPr>
          <w:p>
            <w:pPr>
              <w:pStyle w:val="TableContents"/>
              <w:bidi w:val="0"/>
              <w:spacing w:before="0" w:after="0"/>
              <w:ind w:left="0" w:right="0" w:hanging="0"/>
              <w:jc w:val="left"/>
              <w:rPr/>
            </w:pPr>
            <w:r>
              <w:rPr/>
              <w:t>​</w:t>
            </w:r>
          </w:p>
        </w:tc>
        <w:tc>
          <w:tcPr>
            <w:tcW w:w="277" w:type="dxa"/>
            <w:tcBorders/>
            <w:shd w:fill="CCEEFF" w:val="clear"/>
            <w:vAlign w:val="center"/>
          </w:tcPr>
          <w:p>
            <w:pPr>
              <w:pStyle w:val="TableContents"/>
              <w:bidi w:val="0"/>
              <w:spacing w:before="0" w:after="0"/>
              <w:ind w:left="0" w:right="0" w:hanging="0"/>
              <w:jc w:val="left"/>
              <w:rPr/>
            </w:pPr>
            <w:r>
              <w:rPr/>
              <w:t> </w:t>
            </w:r>
          </w:p>
        </w:tc>
        <w:tc>
          <w:tcPr>
            <w:tcW w:w="102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5,390</w:t>
            </w:r>
          </w:p>
        </w:tc>
        <w:tc>
          <w:tcPr>
            <w:tcW w:w="346" w:type="dxa"/>
            <w:tcBorders/>
            <w:shd w:fill="CCEEFF" w:val="clear"/>
            <w:vAlign w:val="center"/>
          </w:tcPr>
          <w:p>
            <w:pPr>
              <w:pStyle w:val="TableContents"/>
              <w:bidi w:val="0"/>
              <w:spacing w:before="0" w:after="0"/>
              <w:ind w:left="0" w:right="0" w:hanging="0"/>
              <w:jc w:val="left"/>
              <w:rPr/>
            </w:pPr>
            <w:r>
              <w:rPr/>
              <w:t>​</w:t>
            </w:r>
          </w:p>
        </w:tc>
        <w:tc>
          <w:tcPr>
            <w:tcW w:w="236" w:type="dxa"/>
            <w:tcBorders/>
            <w:shd w:fill="CCEEFF" w:val="clear"/>
            <w:vAlign w:val="center"/>
          </w:tcPr>
          <w:p>
            <w:pPr>
              <w:pStyle w:val="TableContents"/>
              <w:bidi w:val="0"/>
              <w:spacing w:before="0" w:after="0"/>
              <w:ind w:left="0" w:right="0" w:hanging="0"/>
              <w:jc w:val="left"/>
              <w:rPr/>
            </w:pPr>
            <w:r>
              <w:rPr/>
              <w:t> </w:t>
            </w:r>
          </w:p>
        </w:tc>
        <w:tc>
          <w:tcPr>
            <w:tcW w:w="994"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5,390</w:t>
            </w:r>
          </w:p>
        </w:tc>
      </w:tr>
      <w:tr>
        <w:trPr/>
        <w:tc>
          <w:tcPr>
            <w:tcW w:w="319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Buildings</w:t>
            </w:r>
          </w:p>
        </w:tc>
        <w:tc>
          <w:tcPr>
            <w:tcW w:w="346" w:type="dxa"/>
            <w:tcBorders/>
            <w:vAlign w:val="center"/>
          </w:tcPr>
          <w:p>
            <w:pPr>
              <w:pStyle w:val="TableContents"/>
              <w:bidi w:val="0"/>
              <w:spacing w:before="0" w:after="0"/>
              <w:ind w:left="0" w:right="0" w:hanging="0"/>
              <w:jc w:val="left"/>
              <w:rPr/>
            </w:pPr>
            <w:r>
              <w:rPr/>
              <w:t>​</w:t>
            </w:r>
          </w:p>
        </w:tc>
        <w:tc>
          <w:tcPr>
            <w:tcW w:w="277" w:type="dxa"/>
            <w:tcBorders/>
            <w:vAlign w:val="center"/>
          </w:tcPr>
          <w:p>
            <w:pPr>
              <w:pStyle w:val="TableContents"/>
              <w:bidi w:val="0"/>
              <w:spacing w:before="0" w:after="0"/>
              <w:ind w:left="0" w:right="0" w:hanging="0"/>
              <w:jc w:val="left"/>
              <w:rPr/>
            </w:pPr>
            <w:r>
              <w:rPr/>
              <w:t> </w:t>
            </w:r>
          </w:p>
        </w:tc>
        <w:tc>
          <w:tcPr>
            <w:tcW w:w="1028"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23,634</w:t>
            </w:r>
          </w:p>
        </w:tc>
        <w:tc>
          <w:tcPr>
            <w:tcW w:w="346" w:type="dxa"/>
            <w:tcBorders/>
            <w:vAlign w:val="center"/>
          </w:tcPr>
          <w:p>
            <w:pPr>
              <w:pStyle w:val="TableContents"/>
              <w:bidi w:val="0"/>
              <w:spacing w:before="0" w:after="0"/>
              <w:ind w:left="0" w:right="0" w:hanging="0"/>
              <w:jc w:val="left"/>
              <w:rPr/>
            </w:pPr>
            <w:r>
              <w:rPr/>
              <w:t>​</w:t>
            </w:r>
          </w:p>
        </w:tc>
        <w:tc>
          <w:tcPr>
            <w:tcW w:w="236" w:type="dxa"/>
            <w:tcBorders/>
            <w:vAlign w:val="center"/>
          </w:tcPr>
          <w:p>
            <w:pPr>
              <w:pStyle w:val="TableContents"/>
              <w:bidi w:val="0"/>
              <w:spacing w:before="0" w:after="0"/>
              <w:ind w:left="0" w:right="0" w:hanging="0"/>
              <w:jc w:val="left"/>
              <w:rPr/>
            </w:pPr>
            <w:r>
              <w:rPr/>
              <w:t> </w:t>
            </w:r>
          </w:p>
        </w:tc>
        <w:tc>
          <w:tcPr>
            <w:tcW w:w="994" w:type="dxa"/>
            <w:tcBorders/>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23,634</w:t>
            </w:r>
          </w:p>
        </w:tc>
      </w:tr>
      <w:tr>
        <w:trPr/>
        <w:tc>
          <w:tcPr>
            <w:tcW w:w="319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Equipment</w:t>
            </w:r>
          </w:p>
        </w:tc>
        <w:tc>
          <w:tcPr>
            <w:tcW w:w="346" w:type="dxa"/>
            <w:tcBorders/>
            <w:shd w:fill="CCEEFF" w:val="clear"/>
            <w:vAlign w:val="center"/>
          </w:tcPr>
          <w:p>
            <w:pPr>
              <w:pStyle w:val="TableContents"/>
              <w:bidi w:val="0"/>
              <w:spacing w:before="0" w:after="0"/>
              <w:ind w:left="0" w:right="0" w:hanging="0"/>
              <w:jc w:val="left"/>
              <w:rPr/>
            </w:pPr>
            <w:r>
              <w:rPr/>
              <w:t>​</w:t>
            </w:r>
          </w:p>
        </w:tc>
        <w:tc>
          <w:tcPr>
            <w:tcW w:w="277" w:type="dxa"/>
            <w:tcBorders/>
            <w:shd w:fill="CCEEFF" w:val="clear"/>
            <w:vAlign w:val="center"/>
          </w:tcPr>
          <w:p>
            <w:pPr>
              <w:pStyle w:val="TableContents"/>
              <w:bidi w:val="0"/>
              <w:spacing w:before="0" w:after="0"/>
              <w:ind w:left="0" w:right="0" w:hanging="0"/>
              <w:jc w:val="left"/>
              <w:rPr/>
            </w:pPr>
            <w:r>
              <w:rPr/>
              <w:t> </w:t>
            </w:r>
          </w:p>
        </w:tc>
        <w:tc>
          <w:tcPr>
            <w:tcW w:w="102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78,021</w:t>
            </w:r>
          </w:p>
        </w:tc>
        <w:tc>
          <w:tcPr>
            <w:tcW w:w="346" w:type="dxa"/>
            <w:tcBorders/>
            <w:shd w:fill="CCEEFF" w:val="clear"/>
            <w:vAlign w:val="center"/>
          </w:tcPr>
          <w:p>
            <w:pPr>
              <w:pStyle w:val="TableContents"/>
              <w:bidi w:val="0"/>
              <w:spacing w:before="0" w:after="0"/>
              <w:ind w:left="0" w:right="0" w:hanging="0"/>
              <w:jc w:val="left"/>
              <w:rPr/>
            </w:pPr>
            <w:r>
              <w:rPr/>
              <w:t>​</w:t>
            </w:r>
          </w:p>
        </w:tc>
        <w:tc>
          <w:tcPr>
            <w:tcW w:w="236" w:type="dxa"/>
            <w:tcBorders/>
            <w:shd w:fill="CCEEFF" w:val="clear"/>
            <w:vAlign w:val="center"/>
          </w:tcPr>
          <w:p>
            <w:pPr>
              <w:pStyle w:val="TableContents"/>
              <w:bidi w:val="0"/>
              <w:spacing w:before="0" w:after="0"/>
              <w:ind w:left="0" w:right="0" w:hanging="0"/>
              <w:jc w:val="left"/>
              <w:rPr/>
            </w:pPr>
            <w:r>
              <w:rPr/>
              <w:t> </w:t>
            </w:r>
          </w:p>
        </w:tc>
        <w:tc>
          <w:tcPr>
            <w:tcW w:w="994"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78,137</w:t>
            </w:r>
          </w:p>
        </w:tc>
      </w:tr>
      <w:tr>
        <w:trPr/>
        <w:tc>
          <w:tcPr>
            <w:tcW w:w="319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Construction in progress</w:t>
            </w:r>
          </w:p>
        </w:tc>
        <w:tc>
          <w:tcPr>
            <w:tcW w:w="346" w:type="dxa"/>
            <w:tcBorders/>
            <w:vAlign w:val="center"/>
          </w:tcPr>
          <w:p>
            <w:pPr>
              <w:pStyle w:val="TableContents"/>
              <w:bidi w:val="0"/>
              <w:spacing w:before="0" w:after="0"/>
              <w:ind w:left="0" w:right="0" w:hanging="0"/>
              <w:jc w:val="left"/>
              <w:rPr/>
            </w:pPr>
            <w:r>
              <w:rPr/>
              <w:t>​</w:t>
            </w:r>
          </w:p>
        </w:tc>
        <w:tc>
          <w:tcPr>
            <w:tcW w:w="277"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1028"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477</w:t>
            </w:r>
          </w:p>
        </w:tc>
        <w:tc>
          <w:tcPr>
            <w:tcW w:w="346" w:type="dxa"/>
            <w:tcBorders/>
            <w:vAlign w:val="center"/>
          </w:tcPr>
          <w:p>
            <w:pPr>
              <w:pStyle w:val="TableContents"/>
              <w:bidi w:val="0"/>
              <w:spacing w:before="0" w:after="0"/>
              <w:ind w:left="0" w:right="0" w:hanging="0"/>
              <w:jc w:val="left"/>
              <w:rPr/>
            </w:pPr>
            <w:r>
              <w:rPr/>
              <w:t>​</w:t>
            </w:r>
          </w:p>
        </w:tc>
        <w:tc>
          <w:tcPr>
            <w:tcW w:w="236"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994"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937</w:t>
            </w:r>
          </w:p>
        </w:tc>
      </w:tr>
      <w:tr>
        <w:trPr/>
        <w:tc>
          <w:tcPr>
            <w:tcW w:w="3196"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77" w:type="dxa"/>
            <w:tcBorders/>
            <w:shd w:fill="CCEEFF" w:val="clear"/>
            <w:vAlign w:val="center"/>
          </w:tcPr>
          <w:p>
            <w:pPr>
              <w:pStyle w:val="TableContents"/>
              <w:bidi w:val="0"/>
              <w:spacing w:before="0" w:after="0"/>
              <w:ind w:left="0" w:right="0" w:hanging="0"/>
              <w:jc w:val="left"/>
              <w:rPr/>
            </w:pPr>
            <w:r>
              <w:rPr/>
              <w:t> </w:t>
            </w:r>
          </w:p>
        </w:tc>
        <w:tc>
          <w:tcPr>
            <w:tcW w:w="102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107,522</w:t>
            </w:r>
          </w:p>
        </w:tc>
        <w:tc>
          <w:tcPr>
            <w:tcW w:w="346" w:type="dxa"/>
            <w:tcBorders/>
            <w:shd w:fill="CCEEFF" w:val="clear"/>
            <w:vAlign w:val="center"/>
          </w:tcPr>
          <w:p>
            <w:pPr>
              <w:pStyle w:val="TableContents"/>
              <w:bidi w:val="0"/>
              <w:spacing w:before="0" w:after="0"/>
              <w:ind w:left="0" w:right="0" w:hanging="0"/>
              <w:jc w:val="left"/>
              <w:rPr/>
            </w:pPr>
            <w:r>
              <w:rPr/>
              <w:t>​</w:t>
            </w:r>
          </w:p>
        </w:tc>
        <w:tc>
          <w:tcPr>
            <w:tcW w:w="236" w:type="dxa"/>
            <w:tcBorders/>
            <w:shd w:fill="CCEEFF" w:val="clear"/>
            <w:vAlign w:val="center"/>
          </w:tcPr>
          <w:p>
            <w:pPr>
              <w:pStyle w:val="TableContents"/>
              <w:bidi w:val="0"/>
              <w:spacing w:before="0" w:after="0"/>
              <w:ind w:left="0" w:right="0" w:hanging="0"/>
              <w:jc w:val="left"/>
              <w:rPr/>
            </w:pPr>
            <w:r>
              <w:rPr/>
              <w:t> </w:t>
            </w:r>
          </w:p>
        </w:tc>
        <w:tc>
          <w:tcPr>
            <w:tcW w:w="994"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108,098</w:t>
            </w:r>
          </w:p>
        </w:tc>
      </w:tr>
      <w:tr>
        <w:trPr/>
        <w:tc>
          <w:tcPr>
            <w:tcW w:w="319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Less accumulated depreciation</w:t>
            </w:r>
          </w:p>
        </w:tc>
        <w:tc>
          <w:tcPr>
            <w:tcW w:w="346" w:type="dxa"/>
            <w:tcBorders/>
            <w:vAlign w:val="center"/>
          </w:tcPr>
          <w:p>
            <w:pPr>
              <w:pStyle w:val="TableContents"/>
              <w:bidi w:val="0"/>
              <w:spacing w:before="0" w:after="0"/>
              <w:ind w:left="0" w:right="0" w:hanging="0"/>
              <w:jc w:val="left"/>
              <w:rPr/>
            </w:pPr>
            <w:r>
              <w:rPr/>
              <w:t>​</w:t>
            </w:r>
          </w:p>
        </w:tc>
        <w:tc>
          <w:tcPr>
            <w:tcW w:w="277"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1028"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83,813</w:t>
            </w:r>
          </w:p>
        </w:tc>
        <w:tc>
          <w:tcPr>
            <w:tcW w:w="346" w:type="dxa"/>
            <w:tcBorders/>
            <w:vAlign w:val="center"/>
          </w:tcPr>
          <w:p>
            <w:pPr>
              <w:pStyle w:val="TableContents"/>
              <w:bidi w:val="0"/>
              <w:spacing w:before="0" w:after="0"/>
              <w:ind w:left="0" w:right="0" w:hanging="0"/>
              <w:jc w:val="left"/>
              <w:rPr/>
            </w:pPr>
            <w:r>
              <w:rPr/>
              <w:t>​</w:t>
            </w:r>
          </w:p>
        </w:tc>
        <w:tc>
          <w:tcPr>
            <w:tcW w:w="236"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994"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84,645</w:t>
            </w:r>
          </w:p>
        </w:tc>
      </w:tr>
      <w:tr>
        <w:trPr/>
        <w:tc>
          <w:tcPr>
            <w:tcW w:w="3196"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77" w:type="dxa"/>
            <w:tcBorders/>
            <w:shd w:fill="CCEEFF" w:val="clear"/>
            <w:vAlign w:val="center"/>
          </w:tcPr>
          <w:p>
            <w:pPr>
              <w:pStyle w:val="TableContents"/>
              <w:bidi w:val="0"/>
              <w:spacing w:before="0" w:after="0"/>
              <w:ind w:left="0" w:right="0" w:hanging="0"/>
              <w:jc w:val="left"/>
              <w:rPr/>
            </w:pPr>
            <w:r>
              <w:rPr/>
              <w:t>​</w:t>
            </w:r>
          </w:p>
        </w:tc>
        <w:tc>
          <w:tcPr>
            <w:tcW w:w="1028"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36" w:type="dxa"/>
            <w:tcBorders/>
            <w:shd w:fill="CCEEFF" w:val="clear"/>
            <w:vAlign w:val="center"/>
          </w:tcPr>
          <w:p>
            <w:pPr>
              <w:pStyle w:val="TableContents"/>
              <w:bidi w:val="0"/>
              <w:spacing w:before="0" w:after="0"/>
              <w:ind w:left="0" w:right="0" w:hanging="0"/>
              <w:jc w:val="left"/>
              <w:rPr/>
            </w:pPr>
            <w:r>
              <w:rPr/>
              <w:t>​</w:t>
            </w:r>
          </w:p>
        </w:tc>
        <w:tc>
          <w:tcPr>
            <w:tcW w:w="994" w:type="dxa"/>
            <w:tcBorders/>
            <w:shd w:fill="CCEEFF" w:val="clear"/>
            <w:vAlign w:val="center"/>
          </w:tcPr>
          <w:p>
            <w:pPr>
              <w:pStyle w:val="TableContents"/>
              <w:bidi w:val="0"/>
              <w:spacing w:before="0" w:after="0"/>
              <w:ind w:left="0" w:right="0" w:hanging="0"/>
              <w:jc w:val="left"/>
              <w:rPr/>
            </w:pPr>
            <w:r>
              <w:rPr/>
              <w:t>​</w:t>
            </w:r>
          </w:p>
        </w:tc>
      </w:tr>
      <w:tr>
        <w:trPr/>
        <w:tc>
          <w:tcPr>
            <w:tcW w:w="319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property and equipment</w:t>
            </w:r>
          </w:p>
        </w:tc>
        <w:tc>
          <w:tcPr>
            <w:tcW w:w="346" w:type="dxa"/>
            <w:tcBorders/>
            <w:vAlign w:val="center"/>
          </w:tcPr>
          <w:p>
            <w:pPr>
              <w:pStyle w:val="TableContents"/>
              <w:bidi w:val="0"/>
              <w:spacing w:before="0" w:after="0"/>
              <w:ind w:left="0" w:right="0" w:hanging="0"/>
              <w:jc w:val="left"/>
              <w:rPr/>
            </w:pPr>
            <w:r>
              <w:rPr/>
              <w:t>​</w:t>
            </w:r>
          </w:p>
        </w:tc>
        <w:tc>
          <w:tcPr>
            <w:tcW w:w="277"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1028"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23,709</w:t>
            </w:r>
          </w:p>
        </w:tc>
        <w:tc>
          <w:tcPr>
            <w:tcW w:w="346" w:type="dxa"/>
            <w:tcBorders/>
            <w:vAlign w:val="center"/>
          </w:tcPr>
          <w:p>
            <w:pPr>
              <w:pStyle w:val="TableContents"/>
              <w:bidi w:val="0"/>
              <w:spacing w:before="0" w:after="0"/>
              <w:ind w:left="0" w:right="0" w:hanging="0"/>
              <w:jc w:val="left"/>
              <w:rPr/>
            </w:pPr>
            <w:r>
              <w:rPr/>
              <w:t>​</w:t>
            </w:r>
          </w:p>
        </w:tc>
        <w:tc>
          <w:tcPr>
            <w:tcW w:w="236"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994"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23,453</w:t>
            </w:r>
          </w:p>
        </w:tc>
      </w:tr>
      <w:tr>
        <w:trPr/>
        <w:tc>
          <w:tcPr>
            <w:tcW w:w="3196"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77" w:type="dxa"/>
            <w:tcBorders/>
            <w:shd w:fill="CCEEFF" w:val="clear"/>
            <w:vAlign w:val="center"/>
          </w:tcPr>
          <w:p>
            <w:pPr>
              <w:pStyle w:val="TableContents"/>
              <w:bidi w:val="0"/>
              <w:spacing w:before="0" w:after="0"/>
              <w:ind w:left="0" w:right="0" w:hanging="0"/>
              <w:jc w:val="left"/>
              <w:rPr/>
            </w:pPr>
            <w:r>
              <w:rPr/>
              <w:t>​</w:t>
            </w:r>
          </w:p>
        </w:tc>
        <w:tc>
          <w:tcPr>
            <w:tcW w:w="1028"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36" w:type="dxa"/>
            <w:tcBorders/>
            <w:shd w:fill="CCEEFF" w:val="clear"/>
            <w:vAlign w:val="center"/>
          </w:tcPr>
          <w:p>
            <w:pPr>
              <w:pStyle w:val="TableContents"/>
              <w:bidi w:val="0"/>
              <w:spacing w:before="0" w:after="0"/>
              <w:ind w:left="0" w:right="0" w:hanging="0"/>
              <w:jc w:val="left"/>
              <w:rPr/>
            </w:pPr>
            <w:r>
              <w:rPr/>
              <w:t>​</w:t>
            </w:r>
          </w:p>
        </w:tc>
        <w:tc>
          <w:tcPr>
            <w:tcW w:w="994" w:type="dxa"/>
            <w:tcBorders/>
            <w:shd w:fill="CCEEFF" w:val="clear"/>
            <w:vAlign w:val="center"/>
          </w:tcPr>
          <w:p>
            <w:pPr>
              <w:pStyle w:val="TableContents"/>
              <w:bidi w:val="0"/>
              <w:spacing w:before="0" w:after="0"/>
              <w:ind w:left="0" w:right="0" w:hanging="0"/>
              <w:jc w:val="left"/>
              <w:rPr/>
            </w:pPr>
            <w:r>
              <w:rPr/>
              <w:t>​</w:t>
            </w:r>
          </w:p>
        </w:tc>
      </w:tr>
      <w:tr>
        <w:trPr/>
        <w:tc>
          <w:tcPr>
            <w:tcW w:w="319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assets</w:t>
            </w:r>
          </w:p>
        </w:tc>
        <w:tc>
          <w:tcPr>
            <w:tcW w:w="346" w:type="dxa"/>
            <w:tcBorders/>
            <w:vAlign w:val="center"/>
          </w:tcPr>
          <w:p>
            <w:pPr>
              <w:pStyle w:val="TableContents"/>
              <w:bidi w:val="0"/>
              <w:spacing w:before="0" w:after="0"/>
              <w:ind w:left="0" w:right="0" w:hanging="0"/>
              <w:jc w:val="left"/>
              <w:rPr/>
            </w:pPr>
            <w:r>
              <w:rPr/>
              <w:t>​</w:t>
            </w:r>
          </w:p>
        </w:tc>
        <w:tc>
          <w:tcPr>
            <w:tcW w:w="277"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28"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464,220</w:t>
            </w:r>
          </w:p>
        </w:tc>
        <w:tc>
          <w:tcPr>
            <w:tcW w:w="346" w:type="dxa"/>
            <w:tcBorders/>
            <w:vAlign w:val="center"/>
          </w:tcPr>
          <w:p>
            <w:pPr>
              <w:pStyle w:val="TableContents"/>
              <w:bidi w:val="0"/>
              <w:spacing w:before="0" w:after="0"/>
              <w:ind w:left="0" w:right="0" w:hanging="0"/>
              <w:jc w:val="left"/>
              <w:rPr/>
            </w:pPr>
            <w:r>
              <w:rPr/>
              <w:t>​</w:t>
            </w:r>
          </w:p>
        </w:tc>
        <w:tc>
          <w:tcPr>
            <w:tcW w:w="236"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994" w:type="dxa"/>
            <w:tcBorders>
              <w:bottom w:val="double" w:sz="6" w:space="0" w:color="000000"/>
            </w:tcBorders>
            <w:tcMar>
              <w:bottom w:w="28" w:type="dxa"/>
            </w:tcMar>
            <w:vAlign w:val="center"/>
          </w:tcPr>
          <w:p>
            <w:pPr>
              <w:pStyle w:val="TableContents"/>
              <w:bidi w:val="0"/>
              <w:spacing w:before="0" w:after="0"/>
              <w:ind w:left="0" w:right="60" w:hanging="0"/>
              <w:jc w:val="right"/>
              <w:rPr>
                <w:rFonts w:ascii="Times New Roman;Times;serif" w:hAnsi="Times New Roman;Times;serif"/>
                <w:b/>
                <w:sz w:val="20"/>
              </w:rPr>
            </w:pPr>
            <w:r>
              <w:rPr>
                <w:rFonts w:ascii="Times New Roman;Times;serif" w:hAnsi="Times New Roman;Times;serif"/>
                <w:b/>
                <w:sz w:val="20"/>
              </w:rPr>
              <w:t>461,192</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3</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120"/>
        <w:ind w:left="0" w:right="0" w:hanging="0"/>
        <w:jc w:val="center"/>
        <w:rPr>
          <w:rFonts w:ascii="Times New Roman;Times;serif" w:hAnsi="Times New Roman;Times;serif"/>
          <w:b/>
          <w:sz w:val="20"/>
        </w:rPr>
      </w:pPr>
      <w:r>
        <w:rPr>
          <w:rFonts w:ascii="Times New Roman;Times;serif" w:hAnsi="Times New Roman;Times;serif"/>
          <w:b/>
          <w:sz w:val="20"/>
        </w:rPr>
        <w:t>NL INDUSTRIES, INC. AND SUBSIDIARIES</w:t>
      </w:r>
    </w:p>
    <w:p>
      <w:pPr>
        <w:pStyle w:val="TextBody"/>
        <w:bidi w:val="0"/>
        <w:spacing w:before="0" w:after="120"/>
        <w:ind w:left="0" w:right="0" w:hanging="0"/>
        <w:jc w:val="center"/>
        <w:rPr>
          <w:rFonts w:ascii="Times New Roman;Times;serif" w:hAnsi="Times New Roman;Times;serif"/>
          <w:b/>
          <w:sz w:val="20"/>
        </w:rPr>
      </w:pPr>
      <w:r>
        <w:rPr>
          <w:rFonts w:ascii="Times New Roman;Times;serif" w:hAnsi="Times New Roman;Times;serif"/>
          <w:b/>
          <w:sz w:val="20"/>
        </w:rPr>
        <w:t>CONDENSED CONSOLIDATED BALANCE SHEETS (CONTINUED)</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(In thousands)</w:t>
      </w:r>
    </w:p>
    <w:p>
      <w:pPr>
        <w:pStyle w:val="Normal"/>
        <w:bidi w:val="0"/>
        <w:spacing w:before="0" w:after="0"/>
        <w:jc w:val="left"/>
        <w:rPr>
          <w:sz w:val="4"/>
          <w:szCs w:val="4"/>
        </w:rPr>
      </w:pPr>
      <w:r>
        <w:rPr>
          <w:sz w:val="4"/>
          <w:szCs w:val="4"/>
        </w:rPr>
      </w:r>
      <w:bookmarkStart w:id="107" w:name="Tc_d0r8tBamkkOtQUtGE8z4fw_36_5"/>
      <w:bookmarkStart w:id="108" w:name="Tc_xTZVthMxpUic47uEKKvRJw_36_2"/>
      <w:bookmarkStart w:id="109" w:name="Tc_XntC_kk0CkeT_egUQodI8g_36_0"/>
      <w:bookmarkStart w:id="110" w:name="Tc_hffpEZVgHkmVHk8ac25Zag_34_0"/>
      <w:bookmarkStart w:id="111" w:name="Tc_SHV2YaONf0KK5d5As8MBzQ_32_0"/>
      <w:bookmarkStart w:id="112" w:name="Tc_kD7EqDO1eUWAUP1yK427pg_30_0"/>
      <w:bookmarkStart w:id="113" w:name="Tc_p0puUXr-Vkeob7m_jL_rOQ_28_0"/>
      <w:bookmarkStart w:id="114" w:name="Tc_5rllYYL-lEWuzigZz9LGng_27_0"/>
      <w:bookmarkStart w:id="115" w:name="Tc_HSg4DZa8FE2YiI_zvFu4NA_26_0"/>
      <w:bookmarkStart w:id="116" w:name="Tc_L02bIa-Gqk64hNBdIy8DFQ_25_0"/>
      <w:bookmarkStart w:id="117" w:name="Tc_mdqaTn_JmESVp1V_K9n0hQ_24_0"/>
      <w:bookmarkStart w:id="118" w:name="Tc_DUJTYtFYSUe14f3CTEutZQ_23_0"/>
      <w:bookmarkStart w:id="119" w:name="Tc_O1fZbBqLAEeEA3xd0h4D5A_22_0"/>
      <w:bookmarkStart w:id="120" w:name="Tc_VbA99R1WAESKL9EBA6RBQg_20_0"/>
      <w:bookmarkStart w:id="121" w:name="Tc_AZoifaCPOE6yOI4aONejog_18_0"/>
      <w:bookmarkStart w:id="122" w:name="Tc_b9ex9zpGSEGYCY_Z3I88Xg_17_3"/>
      <w:bookmarkStart w:id="123" w:name="Tc_yh6q7W4DN0usPWnB17u_pA_17_0"/>
      <w:bookmarkStart w:id="124" w:name="Tc_N96zP6yGEUKoTidEVNjAEA_16_0"/>
      <w:bookmarkStart w:id="125" w:name="Tc_GECEMgFjx02DQvjSJt5rkg_15_0"/>
      <w:bookmarkStart w:id="126" w:name="Tc_HzDrHMZBTUaabcTeq2Yvfw_14_0"/>
      <w:bookmarkStart w:id="127" w:name="Tc_lW8pAMcf8k-o-iG7zfBbHQ_13_0"/>
      <w:bookmarkStart w:id="128" w:name="Tc_08ZvFBWvO0m3eCUxdWAM4Q_11_0"/>
      <w:bookmarkStart w:id="129" w:name="Tc_LhEcRn4lnECIJT840cJhKw_9_0"/>
      <w:bookmarkStart w:id="130" w:name="Tc_BdfQT-5A6kWxyvPmq4m_KQ_8_0"/>
      <w:bookmarkStart w:id="131" w:name="Tc_MNKlQuW6gUaLUrPNFeEYVQ_7_0"/>
      <w:bookmarkStart w:id="132" w:name="Tc_Jk3-XTVoqUqeHUPdOv_gZA_6_5"/>
      <w:bookmarkStart w:id="133" w:name="Tc_OtZVi3ihDE2aLwUU3YsWhQ_6_2"/>
      <w:bookmarkStart w:id="134" w:name="Tc_sTqGvHVLCkiTWUgnu4yvdg_6_0"/>
      <w:bookmarkStart w:id="135" w:name="Tc_ovPD6xq_Sk-4pDN8kajVhQ_5_0"/>
      <w:bookmarkStart w:id="136" w:name="Tc_lkStG_gQpE6LEEbi0ncRdQ_4_0"/>
      <w:bookmarkStart w:id="137" w:name="Tc_LNMo0cpDy0KRnAGe5Dy1sQ_3_5"/>
      <w:bookmarkStart w:id="138" w:name="Tc_0wsnEiX7LE-n1C7J1sIV5w_2_5"/>
      <w:bookmarkStart w:id="139" w:name="Tc_P5DrjO4cP0K4xLGg3wG3IA_2_2"/>
      <w:bookmarkStart w:id="140" w:name="Tc_uSPbTIuct0uF9af0CE8OrA_1_5"/>
      <w:bookmarkStart w:id="141" w:name="Tc_9lX6f0jyykST8YMVprT60A_1_2"/>
      <w:bookmarkStart w:id="142" w:name="_0b4d5c46_7ca0_4bfe_b670_4d258f618fc7"/>
      <w:bookmarkStart w:id="143" w:name="Tc_d0r8tBamkkOtQUtGE8z4fw_36_5"/>
      <w:bookmarkStart w:id="144" w:name="Tc_xTZVthMxpUic47uEKKvRJw_36_2"/>
      <w:bookmarkStart w:id="145" w:name="Tc_XntC_kk0CkeT_egUQodI8g_36_0"/>
      <w:bookmarkStart w:id="146" w:name="Tc_hffpEZVgHkmVHk8ac25Zag_34_0"/>
      <w:bookmarkStart w:id="147" w:name="Tc_SHV2YaONf0KK5d5As8MBzQ_32_0"/>
      <w:bookmarkStart w:id="148" w:name="Tc_kD7EqDO1eUWAUP1yK427pg_30_0"/>
      <w:bookmarkStart w:id="149" w:name="Tc_p0puUXr-Vkeob7m_jL_rOQ_28_0"/>
      <w:bookmarkStart w:id="150" w:name="Tc_5rllYYL-lEWuzigZz9LGng_27_0"/>
      <w:bookmarkStart w:id="151" w:name="Tc_HSg4DZa8FE2YiI_zvFu4NA_26_0"/>
      <w:bookmarkStart w:id="152" w:name="Tc_L02bIa-Gqk64hNBdIy8DFQ_25_0"/>
      <w:bookmarkStart w:id="153" w:name="Tc_mdqaTn_JmESVp1V_K9n0hQ_24_0"/>
      <w:bookmarkStart w:id="154" w:name="Tc_DUJTYtFYSUe14f3CTEutZQ_23_0"/>
      <w:bookmarkStart w:id="155" w:name="Tc_O1fZbBqLAEeEA3xd0h4D5A_22_0"/>
      <w:bookmarkStart w:id="156" w:name="Tc_VbA99R1WAESKL9EBA6RBQg_20_0"/>
      <w:bookmarkStart w:id="157" w:name="Tc_AZoifaCPOE6yOI4aONejog_18_0"/>
      <w:bookmarkStart w:id="158" w:name="Tc_b9ex9zpGSEGYCY_Z3I88Xg_17_3"/>
      <w:bookmarkStart w:id="159" w:name="Tc_yh6q7W4DN0usPWnB17u_pA_17_0"/>
      <w:bookmarkStart w:id="160" w:name="Tc_N96zP6yGEUKoTidEVNjAEA_16_0"/>
      <w:bookmarkStart w:id="161" w:name="Tc_GECEMgFjx02DQvjSJt5rkg_15_0"/>
      <w:bookmarkStart w:id="162" w:name="Tc_HzDrHMZBTUaabcTeq2Yvfw_14_0"/>
      <w:bookmarkStart w:id="163" w:name="Tc_lW8pAMcf8k-o-iG7zfBbHQ_13_0"/>
      <w:bookmarkStart w:id="164" w:name="Tc_08ZvFBWvO0m3eCUxdWAM4Q_11_0"/>
      <w:bookmarkStart w:id="165" w:name="Tc_LhEcRn4lnECIJT840cJhKw_9_0"/>
      <w:bookmarkStart w:id="166" w:name="Tc_BdfQT-5A6kWxyvPmq4m_KQ_8_0"/>
      <w:bookmarkStart w:id="167" w:name="Tc_MNKlQuW6gUaLUrPNFeEYVQ_7_0"/>
      <w:bookmarkStart w:id="168" w:name="Tc_Jk3-XTVoqUqeHUPdOv_gZA_6_5"/>
      <w:bookmarkStart w:id="169" w:name="Tc_OtZVi3ihDE2aLwUU3YsWhQ_6_2"/>
      <w:bookmarkStart w:id="170" w:name="Tc_sTqGvHVLCkiTWUgnu4yvdg_6_0"/>
      <w:bookmarkStart w:id="171" w:name="Tc_ovPD6xq_Sk-4pDN8kajVhQ_5_0"/>
      <w:bookmarkStart w:id="172" w:name="Tc_lkStG_gQpE6LEEbi0ncRdQ_4_0"/>
      <w:bookmarkStart w:id="173" w:name="Tc_LNMo0cpDy0KRnAGe5Dy1sQ_3_5"/>
      <w:bookmarkStart w:id="174" w:name="Tc_0wsnEiX7LE-n1C7J1sIV5w_2_5"/>
      <w:bookmarkStart w:id="175" w:name="Tc_P5DrjO4cP0K4xLGg3wG3IA_2_2"/>
      <w:bookmarkStart w:id="176" w:name="Tc_uSPbTIuct0uF9af0CE8OrA_1_5"/>
      <w:bookmarkStart w:id="177" w:name="Tc_9lX6f0jyykST8YMVprT60A_1_2"/>
      <w:bookmarkStart w:id="178" w:name="_0b4d5c46_7ca0_4bfe_b670_4d258f618fc7"/>
      <w:bookmarkEnd w:id="143"/>
      <w:bookmarkEnd w:id="144"/>
      <w:bookmarkEnd w:id="145"/>
      <w:bookmarkEnd w:id="146"/>
      <w:bookmarkEnd w:id="147"/>
      <w:bookmarkEnd w:id="148"/>
      <w:bookmarkEnd w:id="149"/>
      <w:bookmarkEnd w:id="150"/>
      <w:bookmarkEnd w:id="151"/>
      <w:bookmarkEnd w:id="152"/>
      <w:bookmarkEnd w:id="153"/>
      <w:bookmarkEnd w:id="154"/>
      <w:bookmarkEnd w:id="155"/>
      <w:bookmarkEnd w:id="156"/>
      <w:bookmarkEnd w:id="157"/>
      <w:bookmarkEnd w:id="158"/>
      <w:bookmarkEnd w:id="159"/>
      <w:bookmarkEnd w:id="160"/>
      <w:bookmarkEnd w:id="161"/>
      <w:bookmarkEnd w:id="162"/>
      <w:bookmarkEnd w:id="163"/>
      <w:bookmarkEnd w:id="164"/>
      <w:bookmarkEnd w:id="165"/>
      <w:bookmarkEnd w:id="166"/>
      <w:bookmarkEnd w:id="167"/>
      <w:bookmarkEnd w:id="168"/>
      <w:bookmarkEnd w:id="169"/>
      <w:bookmarkEnd w:id="170"/>
      <w:bookmarkEnd w:id="171"/>
      <w:bookmarkEnd w:id="172"/>
      <w:bookmarkEnd w:id="173"/>
      <w:bookmarkEnd w:id="174"/>
      <w:bookmarkEnd w:id="175"/>
      <w:bookmarkEnd w:id="176"/>
      <w:bookmarkEnd w:id="177"/>
      <w:bookmarkEnd w:id="178"/>
    </w:p>
    <w:tbl>
      <w:tblPr>
        <w:tblW w:w="7595" w:type="dxa"/>
        <w:jc w:val="left"/>
        <w:tblInd w:w="0" w:type="dxa"/>
        <w:tblLayout w:type="fixed"/>
        <w:tblCellMar>
          <w:top w:w="0" w:type="dxa"/>
          <w:left w:w="0" w:type="dxa"/>
          <w:bottom w:w="0" w:type="dxa"/>
          <w:right w:w="0" w:type="dxa"/>
        </w:tblCellMar>
      </w:tblPr>
      <w:tblGrid>
        <w:gridCol w:w="4441"/>
        <w:gridCol w:w="346"/>
        <w:gridCol w:w="260"/>
        <w:gridCol w:w="1045"/>
        <w:gridCol w:w="346"/>
        <w:gridCol w:w="211"/>
        <w:gridCol w:w="946"/>
      </w:tblGrid>
      <w:tr>
        <w:trPr/>
        <w:tc>
          <w:tcPr>
            <w:tcW w:w="44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2820035" cy="175260"/>
                      <wp:effectExtent l="0" t="0" r="0" b="0"/>
                      <wp:wrapNone/>
                      <wp:docPr id="11" name="Frame11"/>
                      <a:graphic xmlns:a="http://schemas.openxmlformats.org/drawingml/2006/main">
                        <a:graphicData uri="http://schemas.microsoft.com/office/word/2010/wordprocessingShape">
                          <wps:wsp>
                            <wps:cNvSpPr txBox="1"/>
                            <wps:spPr>
                              <a:xfrm>
                                <a:off x="0" y="0"/>
                                <a:ext cx="28200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22.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219710" cy="175260"/>
                      <wp:effectExtent l="0" t="0" r="0" b="0"/>
                      <wp:wrapNone/>
                      <wp:docPr id="12" name="Frame12"/>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6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165100" cy="175260"/>
                      <wp:effectExtent l="0" t="0" r="0" b="0"/>
                      <wp:wrapNone/>
                      <wp:docPr id="13" name="Frame13"/>
                      <a:graphic xmlns:a="http://schemas.openxmlformats.org/drawingml/2006/main">
                        <a:graphicData uri="http://schemas.microsoft.com/office/word/2010/wordprocessingShape">
                          <wps:wsp>
                            <wps:cNvSpPr txBox="1"/>
                            <wps:spPr>
                              <a:xfrm>
                                <a:off x="0" y="0"/>
                                <a:ext cx="16510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4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63575" cy="175260"/>
                      <wp:effectExtent l="0" t="0" r="0" b="0"/>
                      <wp:wrapNone/>
                      <wp:docPr id="14" name="Frame14"/>
                      <a:graphic xmlns:a="http://schemas.openxmlformats.org/drawingml/2006/main">
                        <a:graphicData uri="http://schemas.microsoft.com/office/word/2010/wordprocessingShape">
                          <wps:wsp>
                            <wps:cNvSpPr txBox="1"/>
                            <wps:spPr>
                              <a:xfrm>
                                <a:off x="0" y="0"/>
                                <a:ext cx="66357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219710" cy="175260"/>
                      <wp:effectExtent l="0" t="0" r="0" b="0"/>
                      <wp:wrapNone/>
                      <wp:docPr id="15" name="Frame15"/>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133985" cy="175260"/>
                      <wp:effectExtent l="0" t="0" r="0" b="0"/>
                      <wp:wrapNone/>
                      <wp:docPr id="16" name="Frame16"/>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00710" cy="175260"/>
                      <wp:effectExtent l="0" t="0" r="0" b="0"/>
                      <wp:wrapNone/>
                      <wp:docPr id="17" name="Frame17"/>
                      <a:graphic xmlns:a="http://schemas.openxmlformats.org/drawingml/2006/main">
                        <a:graphicData uri="http://schemas.microsoft.com/office/word/2010/wordprocessingShape">
                          <wps:wsp>
                            <wps:cNvSpPr txBox="1"/>
                            <wps:spPr>
                              <a:xfrm>
                                <a:off x="0" y="0"/>
                                <a:ext cx="600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444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1305" w:type="dxa"/>
            <w:gridSpan w:val="2"/>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December 31, </w:t>
            </w:r>
          </w:p>
        </w:tc>
        <w:tc>
          <w:tcPr>
            <w:tcW w:w="346" w:type="dxa"/>
            <w:tcBorders/>
            <w:vAlign w:val="center"/>
          </w:tcPr>
          <w:p>
            <w:pPr>
              <w:pStyle w:val="TableContents"/>
              <w:bidi w:val="0"/>
              <w:spacing w:before="0" w:after="0"/>
              <w:ind w:left="0" w:right="0" w:hanging="0"/>
              <w:jc w:val="left"/>
              <w:rPr/>
            </w:pPr>
            <w:r>
              <w:rPr/>
              <w:t>​</w:t>
            </w:r>
          </w:p>
        </w:tc>
        <w:tc>
          <w:tcPr>
            <w:tcW w:w="1157" w:type="dxa"/>
            <w:gridSpan w:val="2"/>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March 31, </w:t>
            </w:r>
          </w:p>
        </w:tc>
      </w:tr>
      <w:tr>
        <w:trPr/>
        <w:tc>
          <w:tcPr>
            <w:tcW w:w="444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  ​ ​ ​</w:t>
            </w:r>
          </w:p>
        </w:tc>
        <w:tc>
          <w:tcPr>
            <w:tcW w:w="130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2025</w:t>
            </w:r>
          </w:p>
        </w:tc>
        <w:tc>
          <w:tcPr>
            <w:tcW w:w="346" w:type="dxa"/>
            <w:tcBorders/>
            <w:vAlign w:val="center"/>
          </w:tcPr>
          <w:p>
            <w:pPr>
              <w:pStyle w:val="TableContents"/>
              <w:bidi w:val="0"/>
              <w:spacing w:before="0" w:after="0"/>
              <w:ind w:left="0" w:right="0" w:hanging="0"/>
              <w:jc w:val="center"/>
              <w:rPr/>
            </w:pPr>
            <w:r>
              <w:rPr/>
              <w:t>  ​ ​ ​</w:t>
            </w:r>
          </w:p>
        </w:tc>
        <w:tc>
          <w:tcPr>
            <w:tcW w:w="115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2026</w:t>
            </w:r>
          </w:p>
        </w:tc>
      </w:tr>
      <w:tr>
        <w:trPr/>
        <w:tc>
          <w:tcPr>
            <w:tcW w:w="444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260" w:type="dxa"/>
            <w:tcBorders/>
            <w:vAlign w:val="center"/>
          </w:tcPr>
          <w:p>
            <w:pPr>
              <w:pStyle w:val="TableContents"/>
              <w:bidi w:val="0"/>
              <w:spacing w:before="0" w:after="0"/>
              <w:ind w:left="0" w:right="0" w:hanging="0"/>
              <w:jc w:val="center"/>
              <w:rPr/>
            </w:pPr>
            <w:r>
              <w:rPr/>
              <w:t>​</w:t>
            </w:r>
          </w:p>
        </w:tc>
        <w:tc>
          <w:tcPr>
            <w:tcW w:w="1045"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1157" w:type="dxa"/>
            <w:gridSpan w:val="2"/>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(unaudited)</w:t>
            </w:r>
          </w:p>
        </w:tc>
      </w:tr>
      <w:tr>
        <w:trPr/>
        <w:tc>
          <w:tcPr>
            <w:tcW w:w="4441" w:type="dxa"/>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LIABILITIES AND EQUITY</w:t>
            </w:r>
          </w:p>
        </w:tc>
        <w:tc>
          <w:tcPr>
            <w:tcW w:w="346" w:type="dxa"/>
            <w:tcBorders/>
            <w:vAlign w:val="center"/>
          </w:tcPr>
          <w:p>
            <w:pPr>
              <w:pStyle w:val="TableContents"/>
              <w:bidi w:val="0"/>
              <w:spacing w:before="0" w:after="0"/>
              <w:ind w:left="0" w:right="0" w:hanging="0"/>
              <w:jc w:val="left"/>
              <w:rPr/>
            </w:pPr>
            <w:r>
              <w:rPr/>
              <w:t>​</w:t>
            </w:r>
          </w:p>
        </w:tc>
        <w:tc>
          <w:tcPr>
            <w:tcW w:w="260" w:type="dxa"/>
            <w:tcBorders/>
            <w:vAlign w:val="center"/>
          </w:tcPr>
          <w:p>
            <w:pPr>
              <w:pStyle w:val="TableContents"/>
              <w:bidi w:val="0"/>
              <w:spacing w:before="0" w:after="0"/>
              <w:ind w:left="0" w:right="0" w:hanging="0"/>
              <w:jc w:val="left"/>
              <w:rPr/>
            </w:pPr>
            <w:r>
              <w:rPr/>
              <w:t>​</w:t>
            </w:r>
          </w:p>
        </w:tc>
        <w:tc>
          <w:tcPr>
            <w:tcW w:w="1045"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46" w:type="dxa"/>
            <w:tcBorders/>
            <w:vAlign w:val="center"/>
          </w:tcPr>
          <w:p>
            <w:pPr>
              <w:pStyle w:val="TableContents"/>
              <w:bidi w:val="0"/>
              <w:spacing w:before="0" w:after="0"/>
              <w:ind w:left="0" w:right="0" w:hanging="0"/>
              <w:jc w:val="left"/>
              <w:rPr/>
            </w:pPr>
            <w:r>
              <w:rPr/>
              <w:t>​</w:t>
            </w:r>
          </w:p>
        </w:tc>
      </w:tr>
      <w:tr>
        <w:trPr/>
        <w:tc>
          <w:tcPr>
            <w:tcW w:w="444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Current liabilities:</w:t>
            </w:r>
          </w:p>
        </w:tc>
        <w:tc>
          <w:tcPr>
            <w:tcW w:w="346" w:type="dxa"/>
            <w:tcBorders/>
            <w:shd w:fill="CCEEFF" w:val="clear"/>
            <w:vAlign w:val="center"/>
          </w:tcPr>
          <w:p>
            <w:pPr>
              <w:pStyle w:val="TableContents"/>
              <w:bidi w:val="0"/>
              <w:spacing w:before="0" w:after="0"/>
              <w:ind w:left="0" w:right="0" w:hanging="0"/>
              <w:jc w:val="left"/>
              <w:rPr/>
            </w:pPr>
            <w:r>
              <w:rPr/>
              <w:t>​</w:t>
            </w:r>
          </w:p>
        </w:tc>
        <w:tc>
          <w:tcPr>
            <w:tcW w:w="260" w:type="dxa"/>
            <w:tcBorders/>
            <w:shd w:fill="CCEEFF" w:val="clear"/>
            <w:vAlign w:val="center"/>
          </w:tcPr>
          <w:p>
            <w:pPr>
              <w:pStyle w:val="TableContents"/>
              <w:bidi w:val="0"/>
              <w:spacing w:before="0" w:after="0"/>
              <w:ind w:left="0" w:right="0" w:hanging="0"/>
              <w:jc w:val="left"/>
              <w:rPr/>
            </w:pPr>
            <w:r>
              <w:rPr/>
              <w:t>​</w:t>
            </w:r>
          </w:p>
        </w:tc>
        <w:tc>
          <w:tcPr>
            <w:tcW w:w="1045"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46" w:type="dxa"/>
            <w:tcBorders/>
            <w:shd w:fill="CCEEFF" w:val="clear"/>
            <w:vAlign w:val="center"/>
          </w:tcPr>
          <w:p>
            <w:pPr>
              <w:pStyle w:val="TableContents"/>
              <w:bidi w:val="0"/>
              <w:spacing w:before="0" w:after="0"/>
              <w:ind w:left="0" w:right="0" w:hanging="0"/>
              <w:jc w:val="left"/>
              <w:rPr/>
            </w:pPr>
            <w:r>
              <w:rPr/>
              <w:t>​</w:t>
            </w:r>
          </w:p>
        </w:tc>
      </w:tr>
      <w:tr>
        <w:trPr/>
        <w:tc>
          <w:tcPr>
            <w:tcW w:w="444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Accounts payable</w:t>
            </w:r>
          </w:p>
        </w:tc>
        <w:tc>
          <w:tcPr>
            <w:tcW w:w="346" w:type="dxa"/>
            <w:tcBorders/>
            <w:vAlign w:val="center"/>
          </w:tcPr>
          <w:p>
            <w:pPr>
              <w:pStyle w:val="TableContents"/>
              <w:bidi w:val="0"/>
              <w:spacing w:before="0" w:after="0"/>
              <w:ind w:left="0" w:right="0" w:hanging="0"/>
              <w:jc w:val="left"/>
              <w:rPr/>
            </w:pPr>
            <w:r>
              <w:rPr/>
              <w:t>​</w:t>
            </w:r>
          </w:p>
        </w:tc>
        <w:tc>
          <w:tcPr>
            <w:tcW w:w="26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45"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2,697</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946" w:type="dxa"/>
            <w:tcBorders/>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3,239</w:t>
            </w:r>
          </w:p>
        </w:tc>
      </w:tr>
      <w:tr>
        <w:trPr/>
        <w:tc>
          <w:tcPr>
            <w:tcW w:w="444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Accrued and other current liabilities</w:t>
            </w:r>
          </w:p>
        </w:tc>
        <w:tc>
          <w:tcPr>
            <w:tcW w:w="346" w:type="dxa"/>
            <w:tcBorders/>
            <w:shd w:fill="CCEEFF" w:val="clear"/>
            <w:vAlign w:val="center"/>
          </w:tcPr>
          <w:p>
            <w:pPr>
              <w:pStyle w:val="TableContents"/>
              <w:bidi w:val="0"/>
              <w:spacing w:before="0" w:after="0"/>
              <w:ind w:left="0" w:right="0" w:hanging="0"/>
              <w:jc w:val="left"/>
              <w:rPr/>
            </w:pPr>
            <w:r>
              <w:rPr/>
              <w:t>​</w:t>
            </w:r>
          </w:p>
        </w:tc>
        <w:tc>
          <w:tcPr>
            <w:tcW w:w="260" w:type="dxa"/>
            <w:tcBorders/>
            <w:shd w:fill="CCEEFF" w:val="clear"/>
            <w:vAlign w:val="center"/>
          </w:tcPr>
          <w:p>
            <w:pPr>
              <w:pStyle w:val="TableContents"/>
              <w:bidi w:val="0"/>
              <w:spacing w:before="0" w:after="0"/>
              <w:ind w:left="0" w:right="0" w:hanging="0"/>
              <w:jc w:val="left"/>
              <w:rPr/>
            </w:pPr>
            <w:r>
              <w:rPr/>
              <w:t> </w:t>
            </w:r>
          </w:p>
        </w:tc>
        <w:tc>
          <w:tcPr>
            <w:tcW w:w="104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15,021</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946"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8,172</w:t>
            </w:r>
          </w:p>
        </w:tc>
      </w:tr>
      <w:tr>
        <w:trPr/>
        <w:tc>
          <w:tcPr>
            <w:tcW w:w="444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Accrued environmental remediation and related costs</w:t>
            </w:r>
          </w:p>
        </w:tc>
        <w:tc>
          <w:tcPr>
            <w:tcW w:w="346" w:type="dxa"/>
            <w:tcBorders/>
            <w:vAlign w:val="center"/>
          </w:tcPr>
          <w:p>
            <w:pPr>
              <w:pStyle w:val="TableContents"/>
              <w:bidi w:val="0"/>
              <w:spacing w:before="0" w:after="0"/>
              <w:ind w:left="0" w:right="0" w:hanging="0"/>
              <w:jc w:val="left"/>
              <w:rPr/>
            </w:pPr>
            <w:r>
              <w:rPr/>
              <w:t>​</w:t>
            </w:r>
          </w:p>
        </w:tc>
        <w:tc>
          <w:tcPr>
            <w:tcW w:w="260" w:type="dxa"/>
            <w:tcBorders/>
            <w:vAlign w:val="center"/>
          </w:tcPr>
          <w:p>
            <w:pPr>
              <w:pStyle w:val="TableContents"/>
              <w:bidi w:val="0"/>
              <w:spacing w:before="0" w:after="0"/>
              <w:ind w:left="0" w:right="0" w:hanging="0"/>
              <w:jc w:val="left"/>
              <w:rPr/>
            </w:pPr>
            <w:r>
              <w:rPr/>
              <w:t> </w:t>
            </w:r>
          </w:p>
        </w:tc>
        <w:tc>
          <w:tcPr>
            <w:tcW w:w="1045"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2,071</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946" w:type="dxa"/>
            <w:tcBorders/>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2,096</w:t>
            </w:r>
          </w:p>
        </w:tc>
      </w:tr>
      <w:tr>
        <w:trPr/>
        <w:tc>
          <w:tcPr>
            <w:tcW w:w="444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Payables to affiliates</w:t>
            </w:r>
          </w:p>
        </w:tc>
        <w:tc>
          <w:tcPr>
            <w:tcW w:w="346" w:type="dxa"/>
            <w:tcBorders/>
            <w:shd w:fill="CCEEFF" w:val="clear"/>
            <w:vAlign w:val="center"/>
          </w:tcPr>
          <w:p>
            <w:pPr>
              <w:pStyle w:val="TableContents"/>
              <w:bidi w:val="0"/>
              <w:spacing w:before="0" w:after="0"/>
              <w:ind w:left="0" w:right="0" w:hanging="0"/>
              <w:jc w:val="left"/>
              <w:rPr/>
            </w:pPr>
            <w:r>
              <w:rPr/>
              <w:t>​</w:t>
            </w:r>
          </w:p>
        </w:tc>
        <w:tc>
          <w:tcPr>
            <w:tcW w:w="26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04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791</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94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1,121</w:t>
            </w:r>
          </w:p>
        </w:tc>
      </w:tr>
      <w:tr>
        <w:trPr/>
        <w:tc>
          <w:tcPr>
            <w:tcW w:w="444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60" w:type="dxa"/>
            <w:tcBorders/>
            <w:vAlign w:val="center"/>
          </w:tcPr>
          <w:p>
            <w:pPr>
              <w:pStyle w:val="TableContents"/>
              <w:bidi w:val="0"/>
              <w:spacing w:before="0" w:after="0"/>
              <w:ind w:left="0" w:right="0" w:hanging="0"/>
              <w:jc w:val="left"/>
              <w:rPr/>
            </w:pPr>
            <w:r>
              <w:rPr/>
              <w:t>​</w:t>
            </w:r>
          </w:p>
        </w:tc>
        <w:tc>
          <w:tcPr>
            <w:tcW w:w="1045"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46" w:type="dxa"/>
            <w:tcBorders/>
            <w:vAlign w:val="center"/>
          </w:tcPr>
          <w:p>
            <w:pPr>
              <w:pStyle w:val="TableContents"/>
              <w:bidi w:val="0"/>
              <w:spacing w:before="0" w:after="0"/>
              <w:ind w:left="0" w:right="0" w:hanging="0"/>
              <w:jc w:val="left"/>
              <w:rPr/>
            </w:pPr>
            <w:r>
              <w:rPr/>
              <w:t>​</w:t>
            </w:r>
          </w:p>
        </w:tc>
      </w:tr>
      <w:tr>
        <w:trPr/>
        <w:tc>
          <w:tcPr>
            <w:tcW w:w="444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current liabilities</w:t>
            </w:r>
          </w:p>
        </w:tc>
        <w:tc>
          <w:tcPr>
            <w:tcW w:w="346" w:type="dxa"/>
            <w:tcBorders/>
            <w:shd w:fill="CCEEFF" w:val="clear"/>
            <w:vAlign w:val="center"/>
          </w:tcPr>
          <w:p>
            <w:pPr>
              <w:pStyle w:val="TableContents"/>
              <w:bidi w:val="0"/>
              <w:spacing w:before="0" w:after="0"/>
              <w:ind w:left="0" w:right="0" w:hanging="0"/>
              <w:jc w:val="left"/>
              <w:rPr/>
            </w:pPr>
            <w:r>
              <w:rPr/>
              <w:t>​</w:t>
            </w:r>
          </w:p>
        </w:tc>
        <w:tc>
          <w:tcPr>
            <w:tcW w:w="26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04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20,580</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94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14,628</w:t>
            </w:r>
          </w:p>
        </w:tc>
      </w:tr>
      <w:tr>
        <w:trPr/>
        <w:tc>
          <w:tcPr>
            <w:tcW w:w="444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60" w:type="dxa"/>
            <w:tcBorders/>
            <w:vAlign w:val="center"/>
          </w:tcPr>
          <w:p>
            <w:pPr>
              <w:pStyle w:val="TableContents"/>
              <w:bidi w:val="0"/>
              <w:spacing w:before="0" w:after="0"/>
              <w:ind w:left="0" w:right="0" w:hanging="0"/>
              <w:jc w:val="left"/>
              <w:rPr/>
            </w:pPr>
            <w:r>
              <w:rPr/>
              <w:t>​</w:t>
            </w:r>
          </w:p>
        </w:tc>
        <w:tc>
          <w:tcPr>
            <w:tcW w:w="1045"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46" w:type="dxa"/>
            <w:tcBorders/>
            <w:vAlign w:val="center"/>
          </w:tcPr>
          <w:p>
            <w:pPr>
              <w:pStyle w:val="TableContents"/>
              <w:bidi w:val="0"/>
              <w:spacing w:before="0" w:after="0"/>
              <w:ind w:left="0" w:right="0" w:hanging="0"/>
              <w:jc w:val="left"/>
              <w:rPr/>
            </w:pPr>
            <w:r>
              <w:rPr/>
              <w:t>​</w:t>
            </w:r>
          </w:p>
        </w:tc>
      </w:tr>
      <w:tr>
        <w:trPr/>
        <w:tc>
          <w:tcPr>
            <w:tcW w:w="444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Noncurrent liabilities:</w:t>
            </w:r>
          </w:p>
        </w:tc>
        <w:tc>
          <w:tcPr>
            <w:tcW w:w="346" w:type="dxa"/>
            <w:tcBorders/>
            <w:shd w:fill="CCEEFF" w:val="clear"/>
            <w:vAlign w:val="center"/>
          </w:tcPr>
          <w:p>
            <w:pPr>
              <w:pStyle w:val="TableContents"/>
              <w:bidi w:val="0"/>
              <w:spacing w:before="0" w:after="0"/>
              <w:ind w:left="0" w:right="0" w:hanging="0"/>
              <w:jc w:val="left"/>
              <w:rPr/>
            </w:pPr>
            <w:r>
              <w:rPr/>
              <w:t>​</w:t>
            </w:r>
          </w:p>
        </w:tc>
        <w:tc>
          <w:tcPr>
            <w:tcW w:w="260" w:type="dxa"/>
            <w:tcBorders/>
            <w:shd w:fill="CCEEFF" w:val="clear"/>
            <w:vAlign w:val="center"/>
          </w:tcPr>
          <w:p>
            <w:pPr>
              <w:pStyle w:val="TableContents"/>
              <w:bidi w:val="0"/>
              <w:spacing w:before="0" w:after="0"/>
              <w:ind w:left="0" w:right="0" w:hanging="0"/>
              <w:jc w:val="left"/>
              <w:rPr/>
            </w:pPr>
            <w:r>
              <w:rPr/>
              <w:t>​</w:t>
            </w:r>
          </w:p>
        </w:tc>
        <w:tc>
          <w:tcPr>
            <w:tcW w:w="1045"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46" w:type="dxa"/>
            <w:tcBorders/>
            <w:shd w:fill="CCEEFF" w:val="clear"/>
            <w:vAlign w:val="center"/>
          </w:tcPr>
          <w:p>
            <w:pPr>
              <w:pStyle w:val="TableContents"/>
              <w:bidi w:val="0"/>
              <w:spacing w:before="0" w:after="0"/>
              <w:ind w:left="0" w:right="0" w:hanging="0"/>
              <w:jc w:val="left"/>
              <w:rPr/>
            </w:pPr>
            <w:r>
              <w:rPr/>
              <w:t>​</w:t>
            </w:r>
          </w:p>
        </w:tc>
      </w:tr>
      <w:tr>
        <w:trPr/>
        <w:tc>
          <w:tcPr>
            <w:tcW w:w="444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Long-term debt from affiliate</w:t>
            </w:r>
          </w:p>
        </w:tc>
        <w:tc>
          <w:tcPr>
            <w:tcW w:w="346" w:type="dxa"/>
            <w:tcBorders/>
            <w:vAlign w:val="center"/>
          </w:tcPr>
          <w:p>
            <w:pPr>
              <w:pStyle w:val="TableContents"/>
              <w:bidi w:val="0"/>
              <w:spacing w:before="0" w:after="0"/>
              <w:ind w:left="0" w:right="0" w:hanging="0"/>
              <w:jc w:val="left"/>
              <w:rPr/>
            </w:pPr>
            <w:r>
              <w:rPr/>
              <w:t>​</w:t>
            </w:r>
          </w:p>
        </w:tc>
        <w:tc>
          <w:tcPr>
            <w:tcW w:w="260" w:type="dxa"/>
            <w:tcBorders/>
            <w:vAlign w:val="center"/>
          </w:tcPr>
          <w:p>
            <w:pPr>
              <w:pStyle w:val="TableContents"/>
              <w:bidi w:val="0"/>
              <w:spacing w:before="0" w:after="0"/>
              <w:ind w:left="0" w:right="0" w:hanging="0"/>
              <w:jc w:val="left"/>
              <w:rPr/>
            </w:pPr>
            <w:r>
              <w:rPr/>
              <w:t> </w:t>
            </w:r>
          </w:p>
        </w:tc>
        <w:tc>
          <w:tcPr>
            <w:tcW w:w="1045"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500</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946" w:type="dxa"/>
            <w:tcBorders/>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500</w:t>
            </w:r>
          </w:p>
        </w:tc>
      </w:tr>
      <w:tr>
        <w:trPr/>
        <w:tc>
          <w:tcPr>
            <w:tcW w:w="444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Accrued environmental remediation and related costs</w:t>
            </w:r>
          </w:p>
        </w:tc>
        <w:tc>
          <w:tcPr>
            <w:tcW w:w="346" w:type="dxa"/>
            <w:tcBorders/>
            <w:shd w:fill="CCEEFF" w:val="clear"/>
            <w:vAlign w:val="center"/>
          </w:tcPr>
          <w:p>
            <w:pPr>
              <w:pStyle w:val="TableContents"/>
              <w:bidi w:val="0"/>
              <w:spacing w:before="0" w:after="0"/>
              <w:ind w:left="0" w:right="0" w:hanging="0"/>
              <w:jc w:val="left"/>
              <w:rPr/>
            </w:pPr>
            <w:r>
              <w:rPr/>
              <w:t>​</w:t>
            </w:r>
          </w:p>
        </w:tc>
        <w:tc>
          <w:tcPr>
            <w:tcW w:w="260" w:type="dxa"/>
            <w:tcBorders/>
            <w:shd w:fill="CCEEFF" w:val="clear"/>
            <w:vAlign w:val="center"/>
          </w:tcPr>
          <w:p>
            <w:pPr>
              <w:pStyle w:val="TableContents"/>
              <w:bidi w:val="0"/>
              <w:spacing w:before="0" w:after="0"/>
              <w:ind w:left="0" w:right="0" w:hanging="0"/>
              <w:jc w:val="left"/>
              <w:rPr/>
            </w:pPr>
            <w:r>
              <w:rPr/>
              <w:t> </w:t>
            </w:r>
          </w:p>
        </w:tc>
        <w:tc>
          <w:tcPr>
            <w:tcW w:w="104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10,969</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946"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10,873</w:t>
            </w:r>
          </w:p>
        </w:tc>
      </w:tr>
      <w:tr>
        <w:trPr/>
        <w:tc>
          <w:tcPr>
            <w:tcW w:w="444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Deferred income taxes</w:t>
            </w:r>
          </w:p>
        </w:tc>
        <w:tc>
          <w:tcPr>
            <w:tcW w:w="346" w:type="dxa"/>
            <w:tcBorders/>
            <w:vAlign w:val="center"/>
          </w:tcPr>
          <w:p>
            <w:pPr>
              <w:pStyle w:val="TableContents"/>
              <w:bidi w:val="0"/>
              <w:spacing w:before="0" w:after="0"/>
              <w:ind w:left="0" w:right="0" w:hanging="0"/>
              <w:jc w:val="left"/>
              <w:rPr/>
            </w:pPr>
            <w:r>
              <w:rPr/>
              <w:t>​</w:t>
            </w:r>
          </w:p>
        </w:tc>
        <w:tc>
          <w:tcPr>
            <w:tcW w:w="260" w:type="dxa"/>
            <w:tcBorders/>
            <w:vAlign w:val="center"/>
          </w:tcPr>
          <w:p>
            <w:pPr>
              <w:pStyle w:val="TableContents"/>
              <w:bidi w:val="0"/>
              <w:spacing w:before="0" w:after="0"/>
              <w:ind w:left="0" w:right="0" w:hanging="0"/>
              <w:jc w:val="left"/>
              <w:rPr/>
            </w:pPr>
            <w:r>
              <w:rPr/>
              <w:t> </w:t>
            </w:r>
          </w:p>
        </w:tc>
        <w:tc>
          <w:tcPr>
            <w:tcW w:w="1045"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54,103</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946" w:type="dxa"/>
            <w:tcBorders/>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55,435</w:t>
            </w:r>
          </w:p>
        </w:tc>
      </w:tr>
      <w:tr>
        <w:trPr/>
        <w:tc>
          <w:tcPr>
            <w:tcW w:w="444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Operating lease liability</w:t>
            </w:r>
          </w:p>
        </w:tc>
        <w:tc>
          <w:tcPr>
            <w:tcW w:w="346" w:type="dxa"/>
            <w:tcBorders/>
            <w:shd w:fill="CCEEFF" w:val="clear"/>
            <w:vAlign w:val="center"/>
          </w:tcPr>
          <w:p>
            <w:pPr>
              <w:pStyle w:val="TableContents"/>
              <w:bidi w:val="0"/>
              <w:spacing w:before="0" w:after="0"/>
              <w:ind w:left="0" w:right="0" w:hanging="0"/>
              <w:jc w:val="left"/>
              <w:rPr/>
            </w:pPr>
            <w:r>
              <w:rPr/>
              <w:t>​</w:t>
            </w:r>
          </w:p>
        </w:tc>
        <w:tc>
          <w:tcPr>
            <w:tcW w:w="260" w:type="dxa"/>
            <w:tcBorders/>
            <w:shd w:fill="CCEEFF" w:val="clear"/>
            <w:vAlign w:val="center"/>
          </w:tcPr>
          <w:p>
            <w:pPr>
              <w:pStyle w:val="TableContents"/>
              <w:bidi w:val="0"/>
              <w:spacing w:before="0" w:after="0"/>
              <w:ind w:left="0" w:right="0" w:hanging="0"/>
              <w:jc w:val="left"/>
              <w:rPr/>
            </w:pPr>
            <w:r>
              <w:rPr/>
              <w:t> </w:t>
            </w:r>
          </w:p>
        </w:tc>
        <w:tc>
          <w:tcPr>
            <w:tcW w:w="1045"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946"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926</w:t>
            </w:r>
          </w:p>
        </w:tc>
      </w:tr>
      <w:tr>
        <w:trPr/>
        <w:tc>
          <w:tcPr>
            <w:tcW w:w="444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w:t>
            </w:r>
          </w:p>
        </w:tc>
        <w:tc>
          <w:tcPr>
            <w:tcW w:w="346" w:type="dxa"/>
            <w:tcBorders/>
            <w:vAlign w:val="center"/>
          </w:tcPr>
          <w:p>
            <w:pPr>
              <w:pStyle w:val="TableContents"/>
              <w:bidi w:val="0"/>
              <w:spacing w:before="0" w:after="0"/>
              <w:ind w:left="0" w:right="0" w:hanging="0"/>
              <w:jc w:val="left"/>
              <w:rPr/>
            </w:pPr>
            <w:r>
              <w:rPr/>
              <w:t>​</w:t>
            </w:r>
          </w:p>
        </w:tc>
        <w:tc>
          <w:tcPr>
            <w:tcW w:w="260"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1045"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1,277</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94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1,199</w:t>
            </w:r>
          </w:p>
        </w:tc>
      </w:tr>
      <w:tr>
        <w:trPr/>
        <w:tc>
          <w:tcPr>
            <w:tcW w:w="4441"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60" w:type="dxa"/>
            <w:tcBorders/>
            <w:shd w:fill="CCEEFF" w:val="clear"/>
            <w:vAlign w:val="center"/>
          </w:tcPr>
          <w:p>
            <w:pPr>
              <w:pStyle w:val="TableContents"/>
              <w:bidi w:val="0"/>
              <w:spacing w:before="0" w:after="0"/>
              <w:ind w:left="0" w:right="0" w:hanging="0"/>
              <w:jc w:val="left"/>
              <w:rPr/>
            </w:pPr>
            <w:r>
              <w:rPr/>
              <w:t>​</w:t>
            </w:r>
          </w:p>
        </w:tc>
        <w:tc>
          <w:tcPr>
            <w:tcW w:w="1045"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46" w:type="dxa"/>
            <w:tcBorders/>
            <w:shd w:fill="CCEEFF" w:val="clear"/>
            <w:vAlign w:val="center"/>
          </w:tcPr>
          <w:p>
            <w:pPr>
              <w:pStyle w:val="TableContents"/>
              <w:bidi w:val="0"/>
              <w:spacing w:before="0" w:after="0"/>
              <w:ind w:left="0" w:right="0" w:hanging="0"/>
              <w:jc w:val="left"/>
              <w:rPr/>
            </w:pPr>
            <w:r>
              <w:rPr/>
              <w:t>​</w:t>
            </w:r>
          </w:p>
        </w:tc>
      </w:tr>
      <w:tr>
        <w:trPr/>
        <w:tc>
          <w:tcPr>
            <w:tcW w:w="444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noncurrent liabilities</w:t>
            </w:r>
          </w:p>
        </w:tc>
        <w:tc>
          <w:tcPr>
            <w:tcW w:w="346" w:type="dxa"/>
            <w:tcBorders/>
            <w:vAlign w:val="center"/>
          </w:tcPr>
          <w:p>
            <w:pPr>
              <w:pStyle w:val="TableContents"/>
              <w:bidi w:val="0"/>
              <w:spacing w:before="0" w:after="0"/>
              <w:ind w:left="0" w:right="0" w:hanging="0"/>
              <w:jc w:val="left"/>
              <w:rPr/>
            </w:pPr>
            <w:r>
              <w:rPr/>
              <w:t>​</w:t>
            </w:r>
          </w:p>
        </w:tc>
        <w:tc>
          <w:tcPr>
            <w:tcW w:w="260"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1045"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66,849</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94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68,933</w:t>
            </w:r>
          </w:p>
        </w:tc>
      </w:tr>
      <w:tr>
        <w:trPr/>
        <w:tc>
          <w:tcPr>
            <w:tcW w:w="4441"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60" w:type="dxa"/>
            <w:tcBorders/>
            <w:shd w:fill="CCEEFF" w:val="clear"/>
            <w:vAlign w:val="center"/>
          </w:tcPr>
          <w:p>
            <w:pPr>
              <w:pStyle w:val="TableContents"/>
              <w:bidi w:val="0"/>
              <w:spacing w:before="0" w:after="0"/>
              <w:ind w:left="0" w:right="0" w:hanging="0"/>
              <w:jc w:val="left"/>
              <w:rPr/>
            </w:pPr>
            <w:r>
              <w:rPr/>
              <w:t>​</w:t>
            </w:r>
          </w:p>
        </w:tc>
        <w:tc>
          <w:tcPr>
            <w:tcW w:w="1045"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46" w:type="dxa"/>
            <w:tcBorders/>
            <w:shd w:fill="CCEEFF" w:val="clear"/>
            <w:vAlign w:val="center"/>
          </w:tcPr>
          <w:p>
            <w:pPr>
              <w:pStyle w:val="TableContents"/>
              <w:bidi w:val="0"/>
              <w:spacing w:before="0" w:after="0"/>
              <w:ind w:left="0" w:right="0" w:hanging="0"/>
              <w:jc w:val="left"/>
              <w:rPr/>
            </w:pPr>
            <w:r>
              <w:rPr/>
              <w:t>​</w:t>
            </w:r>
          </w:p>
        </w:tc>
      </w:tr>
      <w:tr>
        <w:trPr/>
        <w:tc>
          <w:tcPr>
            <w:tcW w:w="444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Equity:</w:t>
            </w:r>
          </w:p>
        </w:tc>
        <w:tc>
          <w:tcPr>
            <w:tcW w:w="346" w:type="dxa"/>
            <w:tcBorders/>
            <w:vAlign w:val="center"/>
          </w:tcPr>
          <w:p>
            <w:pPr>
              <w:pStyle w:val="TableContents"/>
              <w:bidi w:val="0"/>
              <w:spacing w:before="0" w:after="0"/>
              <w:ind w:left="0" w:right="0" w:hanging="0"/>
              <w:jc w:val="left"/>
              <w:rPr/>
            </w:pPr>
            <w:r>
              <w:rPr/>
              <w:t>​</w:t>
            </w:r>
          </w:p>
        </w:tc>
        <w:tc>
          <w:tcPr>
            <w:tcW w:w="260" w:type="dxa"/>
            <w:tcBorders/>
            <w:vAlign w:val="center"/>
          </w:tcPr>
          <w:p>
            <w:pPr>
              <w:pStyle w:val="TableContents"/>
              <w:bidi w:val="0"/>
              <w:spacing w:before="0" w:after="0"/>
              <w:ind w:left="0" w:right="0" w:hanging="0"/>
              <w:jc w:val="left"/>
              <w:rPr/>
            </w:pPr>
            <w:r>
              <w:rPr/>
              <w:t>​</w:t>
            </w:r>
          </w:p>
        </w:tc>
        <w:tc>
          <w:tcPr>
            <w:tcW w:w="1045"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46" w:type="dxa"/>
            <w:tcBorders/>
            <w:vAlign w:val="center"/>
          </w:tcPr>
          <w:p>
            <w:pPr>
              <w:pStyle w:val="TableContents"/>
              <w:bidi w:val="0"/>
              <w:spacing w:before="0" w:after="0"/>
              <w:ind w:left="0" w:right="0" w:hanging="0"/>
              <w:jc w:val="left"/>
              <w:rPr/>
            </w:pPr>
            <w:r>
              <w:rPr/>
              <w:t>​</w:t>
            </w:r>
          </w:p>
        </w:tc>
      </w:tr>
      <w:tr>
        <w:trPr/>
        <w:tc>
          <w:tcPr>
            <w:tcW w:w="444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NL stockholders' equity:</w:t>
            </w:r>
          </w:p>
        </w:tc>
        <w:tc>
          <w:tcPr>
            <w:tcW w:w="346" w:type="dxa"/>
            <w:tcBorders/>
            <w:shd w:fill="CCEEFF" w:val="clear"/>
            <w:vAlign w:val="center"/>
          </w:tcPr>
          <w:p>
            <w:pPr>
              <w:pStyle w:val="TableContents"/>
              <w:bidi w:val="0"/>
              <w:spacing w:before="0" w:after="0"/>
              <w:ind w:left="0" w:right="0" w:hanging="0"/>
              <w:jc w:val="left"/>
              <w:rPr/>
            </w:pPr>
            <w:r>
              <w:rPr/>
              <w:t>​</w:t>
            </w:r>
          </w:p>
        </w:tc>
        <w:tc>
          <w:tcPr>
            <w:tcW w:w="260" w:type="dxa"/>
            <w:tcBorders/>
            <w:shd w:fill="CCEEFF" w:val="clear"/>
            <w:vAlign w:val="center"/>
          </w:tcPr>
          <w:p>
            <w:pPr>
              <w:pStyle w:val="TableContents"/>
              <w:bidi w:val="0"/>
              <w:spacing w:before="0" w:after="0"/>
              <w:ind w:left="0" w:right="0" w:hanging="0"/>
              <w:jc w:val="left"/>
              <w:rPr/>
            </w:pPr>
            <w:r>
              <w:rPr/>
              <w:t>​</w:t>
            </w:r>
          </w:p>
        </w:tc>
        <w:tc>
          <w:tcPr>
            <w:tcW w:w="1045"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46" w:type="dxa"/>
            <w:tcBorders/>
            <w:shd w:fill="CCEEFF" w:val="clear"/>
            <w:vAlign w:val="center"/>
          </w:tcPr>
          <w:p>
            <w:pPr>
              <w:pStyle w:val="TableContents"/>
              <w:bidi w:val="0"/>
              <w:spacing w:before="0" w:after="0"/>
              <w:ind w:left="0" w:right="0" w:hanging="0"/>
              <w:jc w:val="left"/>
              <w:rPr/>
            </w:pPr>
            <w:r>
              <w:rPr/>
              <w:t>​</w:t>
            </w:r>
          </w:p>
        </w:tc>
      </w:tr>
      <w:tr>
        <w:trPr/>
        <w:tc>
          <w:tcPr>
            <w:tcW w:w="444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Preferred stock</w:t>
            </w:r>
          </w:p>
        </w:tc>
        <w:tc>
          <w:tcPr>
            <w:tcW w:w="346" w:type="dxa"/>
            <w:tcBorders/>
            <w:vAlign w:val="center"/>
          </w:tcPr>
          <w:p>
            <w:pPr>
              <w:pStyle w:val="TableContents"/>
              <w:bidi w:val="0"/>
              <w:spacing w:before="0" w:after="0"/>
              <w:ind w:left="0" w:right="0" w:hanging="0"/>
              <w:jc w:val="left"/>
              <w:rPr/>
            </w:pPr>
            <w:r>
              <w:rPr/>
              <w:t>​</w:t>
            </w:r>
          </w:p>
        </w:tc>
        <w:tc>
          <w:tcPr>
            <w:tcW w:w="260" w:type="dxa"/>
            <w:tcBorders/>
            <w:vAlign w:val="center"/>
          </w:tcPr>
          <w:p>
            <w:pPr>
              <w:pStyle w:val="TableContents"/>
              <w:bidi w:val="0"/>
              <w:spacing w:before="0" w:after="0"/>
              <w:ind w:left="0" w:right="0" w:hanging="0"/>
              <w:jc w:val="left"/>
              <w:rPr/>
            </w:pPr>
            <w:r>
              <w:rPr/>
              <w:t>​</w:t>
            </w:r>
          </w:p>
        </w:tc>
        <w:tc>
          <w:tcPr>
            <w:tcW w:w="1045" w:type="dxa"/>
            <w:tcBorders/>
            <w:vAlign w:val="center"/>
          </w:tcPr>
          <w:p>
            <w:pPr>
              <w:pStyle w:val="TableContents"/>
              <w:bidi w:val="0"/>
              <w:spacing w:before="0" w:after="0"/>
              <w:ind w:left="0" w:right="0" w:hanging="0"/>
              <w:jc w:val="right"/>
              <w:rPr>
                <w:caps w:val="false"/>
                <w:smallCaps w:val="false"/>
              </w:rPr>
            </w:pPr>
            <w:r>
              <w:rPr>
                <w:caps w:val="false"/>
                <w:smallCaps w:val="false"/>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46" w:type="dxa"/>
            <w:tcBorders/>
            <w:vAlign w:val="center"/>
          </w:tcPr>
          <w:p>
            <w:pPr>
              <w:pStyle w:val="TableContents"/>
              <w:bidi w:val="0"/>
              <w:spacing w:before="0" w:after="0"/>
              <w:ind w:left="0" w:right="0" w:hanging="0"/>
              <w:jc w:val="right"/>
              <w:rPr>
                <w:caps w:val="false"/>
                <w:smallCaps w:val="false"/>
              </w:rPr>
            </w:pPr>
            <w:r>
              <w:rPr>
                <w:caps w:val="false"/>
                <w:smallCaps w:val="false"/>
              </w:rPr>
              <w:t>—</w:t>
            </w:r>
          </w:p>
        </w:tc>
      </w:tr>
      <w:tr>
        <w:trPr/>
        <w:tc>
          <w:tcPr>
            <w:tcW w:w="444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Common stock</w:t>
            </w:r>
          </w:p>
        </w:tc>
        <w:tc>
          <w:tcPr>
            <w:tcW w:w="346" w:type="dxa"/>
            <w:tcBorders/>
            <w:shd w:fill="CCEEFF" w:val="clear"/>
            <w:vAlign w:val="center"/>
          </w:tcPr>
          <w:p>
            <w:pPr>
              <w:pStyle w:val="TableContents"/>
              <w:bidi w:val="0"/>
              <w:spacing w:before="0" w:after="0"/>
              <w:ind w:left="0" w:right="0" w:hanging="0"/>
              <w:jc w:val="left"/>
              <w:rPr/>
            </w:pPr>
            <w:r>
              <w:rPr/>
              <w:t>​</w:t>
            </w:r>
          </w:p>
        </w:tc>
        <w:tc>
          <w:tcPr>
            <w:tcW w:w="260" w:type="dxa"/>
            <w:tcBorders/>
            <w:shd w:fill="CCEEFF" w:val="clear"/>
            <w:vAlign w:val="center"/>
          </w:tcPr>
          <w:p>
            <w:pPr>
              <w:pStyle w:val="TableContents"/>
              <w:bidi w:val="0"/>
              <w:spacing w:before="0" w:after="0"/>
              <w:ind w:left="0" w:right="0" w:hanging="0"/>
              <w:jc w:val="left"/>
              <w:rPr/>
            </w:pPr>
            <w:r>
              <w:rPr/>
              <w:t> </w:t>
            </w:r>
          </w:p>
        </w:tc>
        <w:tc>
          <w:tcPr>
            <w:tcW w:w="104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6,107</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946"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6,107</w:t>
            </w:r>
          </w:p>
        </w:tc>
      </w:tr>
      <w:tr>
        <w:trPr/>
        <w:tc>
          <w:tcPr>
            <w:tcW w:w="444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Additional paid-in capital</w:t>
            </w:r>
          </w:p>
        </w:tc>
        <w:tc>
          <w:tcPr>
            <w:tcW w:w="346" w:type="dxa"/>
            <w:tcBorders/>
            <w:vAlign w:val="center"/>
          </w:tcPr>
          <w:p>
            <w:pPr>
              <w:pStyle w:val="TableContents"/>
              <w:bidi w:val="0"/>
              <w:spacing w:before="0" w:after="0"/>
              <w:ind w:left="0" w:right="0" w:hanging="0"/>
              <w:jc w:val="left"/>
              <w:rPr/>
            </w:pPr>
            <w:r>
              <w:rPr/>
              <w:t>​</w:t>
            </w:r>
          </w:p>
        </w:tc>
        <w:tc>
          <w:tcPr>
            <w:tcW w:w="260" w:type="dxa"/>
            <w:tcBorders/>
            <w:vAlign w:val="center"/>
          </w:tcPr>
          <w:p>
            <w:pPr>
              <w:pStyle w:val="TableContents"/>
              <w:bidi w:val="0"/>
              <w:spacing w:before="0" w:after="0"/>
              <w:ind w:left="0" w:right="0" w:hanging="0"/>
              <w:jc w:val="left"/>
              <w:rPr/>
            </w:pPr>
            <w:r>
              <w:rPr/>
              <w:t> </w:t>
            </w:r>
          </w:p>
        </w:tc>
        <w:tc>
          <w:tcPr>
            <w:tcW w:w="1045"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299,349</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946" w:type="dxa"/>
            <w:tcBorders/>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299,349</w:t>
            </w:r>
          </w:p>
        </w:tc>
      </w:tr>
      <w:tr>
        <w:trPr/>
        <w:tc>
          <w:tcPr>
            <w:tcW w:w="444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Retained earnings</w:t>
            </w:r>
          </w:p>
        </w:tc>
        <w:tc>
          <w:tcPr>
            <w:tcW w:w="346" w:type="dxa"/>
            <w:tcBorders/>
            <w:shd w:fill="CCEEFF" w:val="clear"/>
            <w:vAlign w:val="center"/>
          </w:tcPr>
          <w:p>
            <w:pPr>
              <w:pStyle w:val="TableContents"/>
              <w:bidi w:val="0"/>
              <w:spacing w:before="0" w:after="0"/>
              <w:ind w:left="0" w:right="0" w:hanging="0"/>
              <w:jc w:val="left"/>
              <w:rPr/>
            </w:pPr>
            <w:r>
              <w:rPr/>
              <w:t>​</w:t>
            </w:r>
          </w:p>
        </w:tc>
        <w:tc>
          <w:tcPr>
            <w:tcW w:w="260" w:type="dxa"/>
            <w:tcBorders/>
            <w:shd w:fill="CCEEFF" w:val="clear"/>
            <w:vAlign w:val="center"/>
          </w:tcPr>
          <w:p>
            <w:pPr>
              <w:pStyle w:val="TableContents"/>
              <w:bidi w:val="0"/>
              <w:spacing w:before="0" w:after="0"/>
              <w:ind w:left="0" w:right="0" w:hanging="0"/>
              <w:jc w:val="left"/>
              <w:rPr/>
            </w:pPr>
            <w:r>
              <w:rPr/>
              <w:t> </w:t>
            </w:r>
          </w:p>
        </w:tc>
        <w:tc>
          <w:tcPr>
            <w:tcW w:w="104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249,380</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946"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248,838</w:t>
            </w:r>
          </w:p>
        </w:tc>
      </w:tr>
      <w:tr>
        <w:trPr/>
        <w:tc>
          <w:tcPr>
            <w:tcW w:w="444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Accumulated other comprehensive loss</w:t>
            </w:r>
          </w:p>
        </w:tc>
        <w:tc>
          <w:tcPr>
            <w:tcW w:w="346" w:type="dxa"/>
            <w:tcBorders/>
            <w:vAlign w:val="center"/>
          </w:tcPr>
          <w:p>
            <w:pPr>
              <w:pStyle w:val="TableContents"/>
              <w:bidi w:val="0"/>
              <w:spacing w:before="0" w:after="0"/>
              <w:ind w:left="0" w:right="0" w:hanging="0"/>
              <w:jc w:val="left"/>
              <w:rPr/>
            </w:pPr>
            <w:r>
              <w:rPr/>
              <w:t>​</w:t>
            </w:r>
          </w:p>
        </w:tc>
        <w:tc>
          <w:tcPr>
            <w:tcW w:w="260"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1045"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(196,067)</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94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(194,965)</w:t>
            </w:r>
          </w:p>
        </w:tc>
      </w:tr>
      <w:tr>
        <w:trPr/>
        <w:tc>
          <w:tcPr>
            <w:tcW w:w="4441"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60" w:type="dxa"/>
            <w:tcBorders/>
            <w:shd w:fill="CCEEFF" w:val="clear"/>
            <w:vAlign w:val="center"/>
          </w:tcPr>
          <w:p>
            <w:pPr>
              <w:pStyle w:val="TableContents"/>
              <w:bidi w:val="0"/>
              <w:spacing w:before="0" w:after="0"/>
              <w:ind w:left="0" w:right="0" w:hanging="0"/>
              <w:jc w:val="left"/>
              <w:rPr/>
            </w:pPr>
            <w:r>
              <w:rPr/>
              <w:t>​</w:t>
            </w:r>
          </w:p>
        </w:tc>
        <w:tc>
          <w:tcPr>
            <w:tcW w:w="1045"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46" w:type="dxa"/>
            <w:tcBorders/>
            <w:shd w:fill="CCEEFF" w:val="clear"/>
            <w:vAlign w:val="center"/>
          </w:tcPr>
          <w:p>
            <w:pPr>
              <w:pStyle w:val="TableContents"/>
              <w:bidi w:val="0"/>
              <w:spacing w:before="0" w:after="0"/>
              <w:ind w:left="0" w:right="0" w:hanging="0"/>
              <w:jc w:val="left"/>
              <w:rPr/>
            </w:pPr>
            <w:r>
              <w:rPr/>
              <w:t>​</w:t>
            </w:r>
          </w:p>
        </w:tc>
      </w:tr>
      <w:tr>
        <w:trPr/>
        <w:tc>
          <w:tcPr>
            <w:tcW w:w="444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NL stockholders' equity</w:t>
            </w:r>
          </w:p>
        </w:tc>
        <w:tc>
          <w:tcPr>
            <w:tcW w:w="346" w:type="dxa"/>
            <w:tcBorders/>
            <w:vAlign w:val="center"/>
          </w:tcPr>
          <w:p>
            <w:pPr>
              <w:pStyle w:val="TableContents"/>
              <w:bidi w:val="0"/>
              <w:spacing w:before="0" w:after="0"/>
              <w:ind w:left="0" w:right="0" w:hanging="0"/>
              <w:jc w:val="left"/>
              <w:rPr/>
            </w:pPr>
            <w:r>
              <w:rPr/>
              <w:t>​</w:t>
            </w:r>
          </w:p>
        </w:tc>
        <w:tc>
          <w:tcPr>
            <w:tcW w:w="260" w:type="dxa"/>
            <w:tcBorders/>
            <w:vAlign w:val="center"/>
          </w:tcPr>
          <w:p>
            <w:pPr>
              <w:pStyle w:val="TableContents"/>
              <w:bidi w:val="0"/>
              <w:spacing w:before="0" w:after="0"/>
              <w:ind w:left="0" w:right="0" w:hanging="0"/>
              <w:jc w:val="left"/>
              <w:rPr/>
            </w:pPr>
            <w:r>
              <w:rPr/>
              <w:t> </w:t>
            </w:r>
          </w:p>
        </w:tc>
        <w:tc>
          <w:tcPr>
            <w:tcW w:w="1045"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358,769</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946" w:type="dxa"/>
            <w:tcBorders/>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359,329</w:t>
            </w:r>
          </w:p>
        </w:tc>
      </w:tr>
      <w:tr>
        <w:trPr/>
        <w:tc>
          <w:tcPr>
            <w:tcW w:w="4441"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60" w:type="dxa"/>
            <w:tcBorders/>
            <w:shd w:fill="CCEEFF" w:val="clear"/>
            <w:vAlign w:val="center"/>
          </w:tcPr>
          <w:p>
            <w:pPr>
              <w:pStyle w:val="TableContents"/>
              <w:bidi w:val="0"/>
              <w:spacing w:before="0" w:after="0"/>
              <w:ind w:left="0" w:right="0" w:hanging="0"/>
              <w:jc w:val="left"/>
              <w:rPr/>
            </w:pPr>
            <w:r>
              <w:rPr/>
              <w:t>​</w:t>
            </w:r>
          </w:p>
        </w:tc>
        <w:tc>
          <w:tcPr>
            <w:tcW w:w="1045"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46" w:type="dxa"/>
            <w:tcBorders/>
            <w:shd w:fill="CCEEFF" w:val="clear"/>
            <w:vAlign w:val="center"/>
          </w:tcPr>
          <w:p>
            <w:pPr>
              <w:pStyle w:val="TableContents"/>
              <w:bidi w:val="0"/>
              <w:spacing w:before="0" w:after="0"/>
              <w:ind w:left="0" w:right="0" w:hanging="0"/>
              <w:jc w:val="left"/>
              <w:rPr/>
            </w:pPr>
            <w:r>
              <w:rPr/>
              <w:t>​</w:t>
            </w:r>
          </w:p>
        </w:tc>
      </w:tr>
      <w:tr>
        <w:trPr/>
        <w:tc>
          <w:tcPr>
            <w:tcW w:w="444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Noncontrolling interest in subsidiary</w:t>
            </w:r>
          </w:p>
        </w:tc>
        <w:tc>
          <w:tcPr>
            <w:tcW w:w="346" w:type="dxa"/>
            <w:tcBorders/>
            <w:vAlign w:val="center"/>
          </w:tcPr>
          <w:p>
            <w:pPr>
              <w:pStyle w:val="TableContents"/>
              <w:bidi w:val="0"/>
              <w:spacing w:before="0" w:after="0"/>
              <w:ind w:left="0" w:right="0" w:hanging="0"/>
              <w:jc w:val="left"/>
              <w:rPr/>
            </w:pPr>
            <w:r>
              <w:rPr/>
              <w:t>​</w:t>
            </w:r>
          </w:p>
        </w:tc>
        <w:tc>
          <w:tcPr>
            <w:tcW w:w="260"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1045"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18,022</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94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18,302</w:t>
            </w:r>
          </w:p>
        </w:tc>
      </w:tr>
      <w:tr>
        <w:trPr/>
        <w:tc>
          <w:tcPr>
            <w:tcW w:w="4441"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60" w:type="dxa"/>
            <w:tcBorders/>
            <w:shd w:fill="CCEEFF" w:val="clear"/>
            <w:vAlign w:val="center"/>
          </w:tcPr>
          <w:p>
            <w:pPr>
              <w:pStyle w:val="TableContents"/>
              <w:bidi w:val="0"/>
              <w:spacing w:before="0" w:after="0"/>
              <w:ind w:left="0" w:right="0" w:hanging="0"/>
              <w:jc w:val="left"/>
              <w:rPr/>
            </w:pPr>
            <w:r>
              <w:rPr/>
              <w:t>​</w:t>
            </w:r>
          </w:p>
        </w:tc>
        <w:tc>
          <w:tcPr>
            <w:tcW w:w="1045"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46" w:type="dxa"/>
            <w:tcBorders/>
            <w:shd w:fill="CCEEFF" w:val="clear"/>
            <w:vAlign w:val="center"/>
          </w:tcPr>
          <w:p>
            <w:pPr>
              <w:pStyle w:val="TableContents"/>
              <w:bidi w:val="0"/>
              <w:spacing w:before="0" w:after="0"/>
              <w:ind w:left="0" w:right="0" w:hanging="0"/>
              <w:jc w:val="left"/>
              <w:rPr/>
            </w:pPr>
            <w:r>
              <w:rPr/>
              <w:t>​</w:t>
            </w:r>
          </w:p>
        </w:tc>
      </w:tr>
      <w:tr>
        <w:trPr/>
        <w:tc>
          <w:tcPr>
            <w:tcW w:w="444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equity</w:t>
            </w:r>
          </w:p>
        </w:tc>
        <w:tc>
          <w:tcPr>
            <w:tcW w:w="346" w:type="dxa"/>
            <w:tcBorders/>
            <w:vAlign w:val="center"/>
          </w:tcPr>
          <w:p>
            <w:pPr>
              <w:pStyle w:val="TableContents"/>
              <w:bidi w:val="0"/>
              <w:spacing w:before="0" w:after="0"/>
              <w:ind w:left="0" w:right="0" w:hanging="0"/>
              <w:jc w:val="left"/>
              <w:rPr/>
            </w:pPr>
            <w:r>
              <w:rPr/>
              <w:t>​</w:t>
            </w:r>
          </w:p>
        </w:tc>
        <w:tc>
          <w:tcPr>
            <w:tcW w:w="260"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1045"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376,791</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94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377,631</w:t>
            </w:r>
          </w:p>
        </w:tc>
      </w:tr>
      <w:tr>
        <w:trPr/>
        <w:tc>
          <w:tcPr>
            <w:tcW w:w="4441"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60" w:type="dxa"/>
            <w:tcBorders/>
            <w:shd w:fill="CCEEFF" w:val="clear"/>
            <w:vAlign w:val="center"/>
          </w:tcPr>
          <w:p>
            <w:pPr>
              <w:pStyle w:val="TableContents"/>
              <w:bidi w:val="0"/>
              <w:spacing w:before="0" w:after="0"/>
              <w:ind w:left="0" w:right="0" w:hanging="0"/>
              <w:jc w:val="left"/>
              <w:rPr/>
            </w:pPr>
            <w:r>
              <w:rPr/>
              <w:t>​</w:t>
            </w:r>
          </w:p>
        </w:tc>
        <w:tc>
          <w:tcPr>
            <w:tcW w:w="1045"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46" w:type="dxa"/>
            <w:tcBorders/>
            <w:shd w:fill="CCEEFF" w:val="clear"/>
            <w:vAlign w:val="center"/>
          </w:tcPr>
          <w:p>
            <w:pPr>
              <w:pStyle w:val="TableContents"/>
              <w:bidi w:val="0"/>
              <w:spacing w:before="0" w:after="0"/>
              <w:ind w:left="0" w:right="0" w:hanging="0"/>
              <w:jc w:val="left"/>
              <w:rPr/>
            </w:pPr>
            <w:r>
              <w:rPr/>
              <w:t>​</w:t>
            </w:r>
          </w:p>
        </w:tc>
      </w:tr>
      <w:tr>
        <w:trPr/>
        <w:tc>
          <w:tcPr>
            <w:tcW w:w="444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liabilities and equity</w:t>
            </w:r>
          </w:p>
        </w:tc>
        <w:tc>
          <w:tcPr>
            <w:tcW w:w="346" w:type="dxa"/>
            <w:tcBorders/>
            <w:vAlign w:val="center"/>
          </w:tcPr>
          <w:p>
            <w:pPr>
              <w:pStyle w:val="TableContents"/>
              <w:bidi w:val="0"/>
              <w:spacing w:before="0" w:after="0"/>
              <w:ind w:left="0" w:right="0" w:hanging="0"/>
              <w:jc w:val="left"/>
              <w:rPr/>
            </w:pPr>
            <w:r>
              <w:rPr/>
              <w:t>​</w:t>
            </w:r>
          </w:p>
        </w:tc>
        <w:tc>
          <w:tcPr>
            <w:tcW w:w="260"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45"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464,220</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946" w:type="dxa"/>
            <w:tcBorders>
              <w:bottom w:val="double" w:sz="6" w:space="0" w:color="000000"/>
            </w:tcBorders>
            <w:tcMar>
              <w:bottom w:w="28" w:type="dxa"/>
            </w:tcMar>
            <w:vAlign w:val="center"/>
          </w:tcPr>
          <w:p>
            <w:pPr>
              <w:pStyle w:val="TableContents"/>
              <w:bidi w:val="0"/>
              <w:spacing w:before="0" w:after="0"/>
              <w:ind w:left="0" w:right="60" w:hanging="0"/>
              <w:jc w:val="right"/>
              <w:rPr>
                <w:rFonts w:ascii="Times New Roman;Times;serif" w:hAnsi="Times New Roman;Times;serif"/>
                <w:b/>
                <w:sz w:val="20"/>
              </w:rPr>
            </w:pPr>
            <w:r>
              <w:rPr>
                <w:rFonts w:ascii="Times New Roman;Times;serif" w:hAnsi="Times New Roman;Times;serif"/>
                <w:b/>
                <w:sz w:val="20"/>
              </w:rPr>
              <w:t>461,192</w:t>
            </w:r>
          </w:p>
        </w:tc>
      </w:tr>
    </w:tbl>
    <w:p>
      <w:pPr>
        <w:pStyle w:val="TextBody"/>
        <w:bidi w:val="0"/>
        <w:spacing w:before="0" w:after="0"/>
        <w:ind w:left="0" w:right="0" w:hanging="0"/>
        <w:jc w:val="left"/>
        <w:rPr/>
      </w:pPr>
      <w:r>
        <w:rPr/>
        <w:t>​</w:t>
      </w:r>
    </w:p>
    <w:p>
      <w:pPr>
        <w:pStyle w:val="TextBody"/>
        <w:bidi w:val="0"/>
        <w:spacing w:before="0" w:after="240"/>
        <w:ind w:left="0" w:right="0" w:firstLine="360"/>
        <w:jc w:val="both"/>
        <w:rPr>
          <w:rFonts w:ascii="Times New Roman;Times;serif" w:hAnsi="Times New Roman;Times;serif"/>
          <w:sz w:val="20"/>
        </w:rPr>
      </w:pPr>
      <w:bookmarkStart w:id="179" w:name="Narr_rewyXznIckGktexBeoO8jw"/>
      <w:bookmarkStart w:id="180" w:name="Narr_7SPAym7Ar0aCiLav5Bn69g"/>
      <w:bookmarkEnd w:id="179"/>
      <w:bookmarkEnd w:id="180"/>
      <w:r>
        <w:rPr>
          <w:rFonts w:ascii="Times New Roman;Times;serif" w:hAnsi="Times New Roman;Times;serif"/>
          <w:sz w:val="20"/>
        </w:rPr>
        <w:t>Commitments and contingencies (Notes 12 and 14)</w:t>
      </w:r>
    </w:p>
    <w:p>
      <w:pPr>
        <w:pStyle w:val="TextBody"/>
        <w:bidi w:val="0"/>
        <w:spacing w:before="0" w:after="360"/>
        <w:ind w:left="0" w:right="0" w:hanging="0"/>
        <w:jc w:val="center"/>
        <w:rPr>
          <w:rFonts w:ascii="Times New Roman;Times;serif" w:hAnsi="Times New Roman;Times;serif"/>
          <w:sz w:val="20"/>
        </w:rPr>
      </w:pPr>
      <w:r>
        <w:rPr>
          <w:rFonts w:ascii="Times New Roman;Times;serif" w:hAnsi="Times New Roman;Times;serif"/>
          <w:sz w:val="20"/>
        </w:rPr>
        <w:t>See accompanying notes to Condensed Consolidated Financial Statements.</w:t>
      </w:r>
    </w:p>
    <w:p>
      <w:pPr>
        <w:pStyle w:val="TextBody"/>
        <w:bidi w:val="0"/>
        <w:spacing w:before="0" w:after="0"/>
        <w:ind w:left="0" w:right="0" w:hanging="0"/>
        <w:jc w:val="left"/>
        <w:rPr/>
      </w:pPr>
      <w:r>
        <w:rPr/>
        <w:t>​</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4</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120"/>
        <w:ind w:left="0" w:right="0" w:hanging="0"/>
        <w:jc w:val="center"/>
        <w:rPr>
          <w:rFonts w:ascii="Times New Roman;Times;serif" w:hAnsi="Times New Roman;Times;serif"/>
          <w:b/>
          <w:sz w:val="20"/>
        </w:rPr>
      </w:pPr>
      <w:bookmarkStart w:id="181" w:name="_d27645d5_2114_46c9_894c_a7db37f4d3ba"/>
      <w:bookmarkEnd w:id="181"/>
      <w:r>
        <w:rPr>
          <w:rFonts w:ascii="Times New Roman;Times;serif" w:hAnsi="Times New Roman;Times;serif"/>
          <w:b/>
          <w:sz w:val="20"/>
        </w:rPr>
        <w:t>NL INDUSTRIES, INC. AND SUBSIDIARIES</w:t>
      </w:r>
    </w:p>
    <w:p>
      <w:pPr>
        <w:pStyle w:val="TextBody"/>
        <w:bidi w:val="0"/>
        <w:spacing w:before="0" w:after="120"/>
        <w:ind w:left="0" w:right="0" w:hanging="0"/>
        <w:jc w:val="center"/>
        <w:rPr>
          <w:rFonts w:ascii="Times New Roman;Times;serif" w:hAnsi="Times New Roman;Times;serif"/>
          <w:b/>
          <w:sz w:val="20"/>
        </w:rPr>
      </w:pPr>
      <w:bookmarkStart w:id="182" w:name="CONDENSEDCONSOLIDATEDSTATEMENTOFOPERATIO"/>
      <w:bookmarkEnd w:id="182"/>
      <w:r>
        <w:rPr>
          <w:rFonts w:ascii="Times New Roman;Times;serif" w:hAnsi="Times New Roman;Times;serif"/>
          <w:b/>
          <w:sz w:val="20"/>
        </w:rPr>
        <w:t>CONDENSED CONSOLIDATED STATEMENTS OF INCOME</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(In thousands, except per share data)</w:t>
      </w:r>
    </w:p>
    <w:p>
      <w:pPr>
        <w:pStyle w:val="Normal"/>
        <w:bidi w:val="0"/>
        <w:spacing w:before="0" w:after="0"/>
        <w:jc w:val="left"/>
        <w:rPr>
          <w:sz w:val="4"/>
          <w:szCs w:val="4"/>
        </w:rPr>
      </w:pPr>
      <w:r>
        <w:rPr>
          <w:sz w:val="4"/>
          <w:szCs w:val="4"/>
        </w:rPr>
      </w:r>
      <w:bookmarkStart w:id="183" w:name="Tc_IytEWs2-UUqZc8glIRzaFA_35_0"/>
      <w:bookmarkStart w:id="184" w:name="Tc_XKl5WaXTAkKyCprr_kEbDA_33_5"/>
      <w:bookmarkStart w:id="185" w:name="Tc_v2EnvAW1wkqqCL2C3eNnrg_33_2"/>
      <w:bookmarkStart w:id="186" w:name="Tc_VR_UC8s9nkGYqK07LWd93w_33_0"/>
      <w:bookmarkStart w:id="187" w:name="Tc_XgVhJKTz7UaX14OBrPo22g_32_0"/>
      <w:bookmarkStart w:id="188" w:name="Tc_TgQgDdpcv0ihXZvqj-KpmA_30_5"/>
      <w:bookmarkStart w:id="189" w:name="Tc_pZoWBuwL5EyTBJQoPHecmQ_30_2"/>
      <w:bookmarkStart w:id="190" w:name="Tc_tGvOkfrk-UyR8Ufovqzi6Q_30_0"/>
      <w:bookmarkStart w:id="191" w:name="Tc_jyiXD7tzpUGJcSQfOlPZLg_28_0"/>
      <w:bookmarkStart w:id="192" w:name="Tc_ffW6VdOmAEal6p4SgZru9Q_27_0"/>
      <w:bookmarkStart w:id="193" w:name="Tc_KkdMg2zL9E6aiNV_RszOEA_25_0"/>
      <w:bookmarkStart w:id="194" w:name="Tc_ajqjhgUB-UeI6-nDl8sgyw_23_0"/>
      <w:bookmarkStart w:id="195" w:name="Tc_lMWwi7cwv0G3aGIPcjRojQ_21_0"/>
      <w:bookmarkStart w:id="196" w:name="Tc_6ERwBlN95Ea46daaxTlACA_20_6"/>
      <w:bookmarkStart w:id="197" w:name="Tc_MQ75SBO3wEqH6yYEtw9zWg_20_0"/>
      <w:bookmarkStart w:id="198" w:name="Tc_G8wyXDb_sUufNuC6Zccm2Q_19_0"/>
      <w:bookmarkStart w:id="199" w:name="Tc_xnZP7ZJD_UilQ8NqrM6XOg_18_0"/>
      <w:bookmarkStart w:id="200" w:name="Tc_c_qS7TXNeU-EtKMjpofewg_17_0"/>
      <w:bookmarkStart w:id="201" w:name="Tc_Bikpx_KvPEuZXkOO3E5giw_15_0"/>
      <w:bookmarkStart w:id="202" w:name="Tc_qJ46jhX0WkKqHMsnLq0XUQ_13_0"/>
      <w:bookmarkStart w:id="203" w:name="Tc_L2rfPij5dUqF_fWFFeduhA_11_0"/>
      <w:bookmarkStart w:id="204" w:name="Tc_DqR5yiDpskqetG3CtDQmPA_10_0"/>
      <w:bookmarkStart w:id="205" w:name="Tc_gX1_AOh0CUGfKYpSbIGjHQ_8_0"/>
      <w:bookmarkStart w:id="206" w:name="Tc_mz6NaS598UuAvX4myDtgQQ_6_0"/>
      <w:bookmarkStart w:id="207" w:name="Tc_hq4rL8t3K0KShQ2-WQh6lg_5_5"/>
      <w:bookmarkStart w:id="208" w:name="Tc_QerHuYduTkmwCsBpdVJaoQ_5_2"/>
      <w:bookmarkStart w:id="209" w:name="Tc_9JoTmktdkEiPm4Yzw1kuRw_5_0"/>
      <w:bookmarkStart w:id="210" w:name="Tc_q_x37C31EEudpsFbaDxNEQ_4_2"/>
      <w:bookmarkStart w:id="211" w:name="Tc_uJQJTqLxSU2yHcbaQaxHPw_3_5"/>
      <w:bookmarkStart w:id="212" w:name="Tc_w56iB8n72USm-vT6Pb6Eyg_3_2"/>
      <w:bookmarkStart w:id="213" w:name="Tc_VbMJYdOw-UShNSHqHNcSDA_2_2"/>
      <w:bookmarkStart w:id="214" w:name="Tc_1Cq54KIju0-AE4p2PASGcA_1_2"/>
      <w:bookmarkStart w:id="215" w:name="_b06c44d7_fd92_4a4d_ab3b_73a54af03163"/>
      <w:bookmarkStart w:id="216" w:name="_0e18cb70_7764_4ac4_8aa0_084c1f3fa143"/>
      <w:bookmarkStart w:id="217" w:name="Tc_IytEWs2-UUqZc8glIRzaFA_35_0"/>
      <w:bookmarkStart w:id="218" w:name="Tc_XKl5WaXTAkKyCprr_kEbDA_33_5"/>
      <w:bookmarkStart w:id="219" w:name="Tc_v2EnvAW1wkqqCL2C3eNnrg_33_2"/>
      <w:bookmarkStart w:id="220" w:name="Tc_VR_UC8s9nkGYqK07LWd93w_33_0"/>
      <w:bookmarkStart w:id="221" w:name="Tc_XgVhJKTz7UaX14OBrPo22g_32_0"/>
      <w:bookmarkStart w:id="222" w:name="Tc_TgQgDdpcv0ihXZvqj-KpmA_30_5"/>
      <w:bookmarkStart w:id="223" w:name="Tc_pZoWBuwL5EyTBJQoPHecmQ_30_2"/>
      <w:bookmarkStart w:id="224" w:name="Tc_tGvOkfrk-UyR8Ufovqzi6Q_30_0"/>
      <w:bookmarkStart w:id="225" w:name="Tc_jyiXD7tzpUGJcSQfOlPZLg_28_0"/>
      <w:bookmarkStart w:id="226" w:name="Tc_ffW6VdOmAEal6p4SgZru9Q_27_0"/>
      <w:bookmarkStart w:id="227" w:name="Tc_KkdMg2zL9E6aiNV_RszOEA_25_0"/>
      <w:bookmarkStart w:id="228" w:name="Tc_ajqjhgUB-UeI6-nDl8sgyw_23_0"/>
      <w:bookmarkStart w:id="229" w:name="Tc_lMWwi7cwv0G3aGIPcjRojQ_21_0"/>
      <w:bookmarkStart w:id="230" w:name="Tc_6ERwBlN95Ea46daaxTlACA_20_6"/>
      <w:bookmarkStart w:id="231" w:name="Tc_MQ75SBO3wEqH6yYEtw9zWg_20_0"/>
      <w:bookmarkStart w:id="232" w:name="Tc_G8wyXDb_sUufNuC6Zccm2Q_19_0"/>
      <w:bookmarkStart w:id="233" w:name="Tc_xnZP7ZJD_UilQ8NqrM6XOg_18_0"/>
      <w:bookmarkStart w:id="234" w:name="Tc_c_qS7TXNeU-EtKMjpofewg_17_0"/>
      <w:bookmarkStart w:id="235" w:name="Tc_Bikpx_KvPEuZXkOO3E5giw_15_0"/>
      <w:bookmarkStart w:id="236" w:name="Tc_qJ46jhX0WkKqHMsnLq0XUQ_13_0"/>
      <w:bookmarkStart w:id="237" w:name="Tc_L2rfPij5dUqF_fWFFeduhA_11_0"/>
      <w:bookmarkStart w:id="238" w:name="Tc_DqR5yiDpskqetG3CtDQmPA_10_0"/>
      <w:bookmarkStart w:id="239" w:name="Tc_gX1_AOh0CUGfKYpSbIGjHQ_8_0"/>
      <w:bookmarkStart w:id="240" w:name="Tc_mz6NaS598UuAvX4myDtgQQ_6_0"/>
      <w:bookmarkStart w:id="241" w:name="Tc_hq4rL8t3K0KShQ2-WQh6lg_5_5"/>
      <w:bookmarkStart w:id="242" w:name="Tc_QerHuYduTkmwCsBpdVJaoQ_5_2"/>
      <w:bookmarkStart w:id="243" w:name="Tc_9JoTmktdkEiPm4Yzw1kuRw_5_0"/>
      <w:bookmarkStart w:id="244" w:name="Tc_q_x37C31EEudpsFbaDxNEQ_4_2"/>
      <w:bookmarkStart w:id="245" w:name="Tc_uJQJTqLxSU2yHcbaQaxHPw_3_5"/>
      <w:bookmarkStart w:id="246" w:name="Tc_w56iB8n72USm-vT6Pb6Eyg_3_2"/>
      <w:bookmarkStart w:id="247" w:name="Tc_VbMJYdOw-UShNSHqHNcSDA_2_2"/>
      <w:bookmarkStart w:id="248" w:name="Tc_1Cq54KIju0-AE4p2PASGcA_1_2"/>
      <w:bookmarkStart w:id="249" w:name="_b06c44d7_fd92_4a4d_ab3b_73a54af03163"/>
      <w:bookmarkStart w:id="250" w:name="_0e18cb70_7764_4ac4_8aa0_084c1f3fa143"/>
      <w:bookmarkEnd w:id="217"/>
      <w:bookmarkEnd w:id="218"/>
      <w:bookmarkEnd w:id="219"/>
      <w:bookmarkEnd w:id="220"/>
      <w:bookmarkEnd w:id="221"/>
      <w:bookmarkEnd w:id="222"/>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bookmarkEnd w:id="237"/>
      <w:bookmarkEnd w:id="238"/>
      <w:bookmarkEnd w:id="239"/>
      <w:bookmarkEnd w:id="240"/>
      <w:bookmarkEnd w:id="241"/>
      <w:bookmarkEnd w:id="242"/>
      <w:bookmarkEnd w:id="243"/>
      <w:bookmarkEnd w:id="244"/>
      <w:bookmarkEnd w:id="245"/>
      <w:bookmarkEnd w:id="246"/>
      <w:bookmarkEnd w:id="247"/>
      <w:bookmarkEnd w:id="248"/>
      <w:bookmarkEnd w:id="249"/>
      <w:bookmarkEnd w:id="250"/>
    </w:p>
    <w:tbl>
      <w:tblPr>
        <w:tblW w:w="7372" w:type="dxa"/>
        <w:jc w:val="left"/>
        <w:tblInd w:w="0" w:type="dxa"/>
        <w:tblLayout w:type="fixed"/>
        <w:tblCellMar>
          <w:top w:w="0" w:type="dxa"/>
          <w:left w:w="0" w:type="dxa"/>
          <w:bottom w:w="0" w:type="dxa"/>
          <w:right w:w="0" w:type="dxa"/>
        </w:tblCellMar>
      </w:tblPr>
      <w:tblGrid>
        <w:gridCol w:w="4786"/>
        <w:gridCol w:w="346"/>
        <w:gridCol w:w="211"/>
        <w:gridCol w:w="691"/>
        <w:gridCol w:w="346"/>
        <w:gridCol w:w="211"/>
        <w:gridCol w:w="781"/>
      </w:tblGrid>
      <w:tr>
        <w:trPr/>
        <w:tc>
          <w:tcPr>
            <w:tcW w:w="47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3039110" cy="175260"/>
                      <wp:effectExtent l="0" t="0" r="0" b="0"/>
                      <wp:wrapNone/>
                      <wp:docPr id="18" name="Frame18"/>
                      <a:graphic xmlns:a="http://schemas.openxmlformats.org/drawingml/2006/main">
                        <a:graphicData uri="http://schemas.microsoft.com/office/word/2010/wordprocessingShape">
                          <wps:wsp>
                            <wps:cNvSpPr txBox="1"/>
                            <wps:spPr>
                              <a:xfrm>
                                <a:off x="0" y="0"/>
                                <a:ext cx="30391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39.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219710" cy="175260"/>
                      <wp:effectExtent l="0" t="0" r="0" b="0"/>
                      <wp:wrapNone/>
                      <wp:docPr id="19" name="Frame19"/>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133985" cy="175260"/>
                      <wp:effectExtent l="0" t="0" r="0" b="0"/>
                      <wp:wrapNone/>
                      <wp:docPr id="20" name="Frame20"/>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438785" cy="175260"/>
                      <wp:effectExtent l="0" t="0" r="0" b="0"/>
                      <wp:wrapNone/>
                      <wp:docPr id="21" name="Frame21"/>
                      <a:graphic xmlns:a="http://schemas.openxmlformats.org/drawingml/2006/main">
                        <a:graphicData uri="http://schemas.microsoft.com/office/word/2010/wordprocessingShape">
                          <wps:wsp>
                            <wps:cNvSpPr txBox="1"/>
                            <wps:spPr>
                              <a:xfrm>
                                <a:off x="0" y="0"/>
                                <a:ext cx="4387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219710" cy="175260"/>
                      <wp:effectExtent l="0" t="0" r="0" b="0"/>
                      <wp:wrapNone/>
                      <wp:docPr id="22" name="Frame22"/>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133985" cy="175260"/>
                      <wp:effectExtent l="0" t="0" r="0" b="0"/>
                      <wp:wrapNone/>
                      <wp:docPr id="23" name="Frame23"/>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495935" cy="175260"/>
                      <wp:effectExtent l="0" t="0" r="0" b="0"/>
                      <wp:wrapNone/>
                      <wp:docPr id="24" name="Frame24"/>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478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2240" w:type="dxa"/>
            <w:gridSpan w:val="5"/>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 xml:space="preserve">Three months ended </w:t>
            </w:r>
          </w:p>
        </w:tc>
      </w:tr>
      <w:tr>
        <w:trPr/>
        <w:tc>
          <w:tcPr>
            <w:tcW w:w="478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2240"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March 31, </w:t>
            </w:r>
          </w:p>
        </w:tc>
      </w:tr>
      <w:tr>
        <w:trPr/>
        <w:tc>
          <w:tcPr>
            <w:tcW w:w="478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  ​ ​ ​</w:t>
            </w:r>
          </w:p>
        </w:tc>
        <w:tc>
          <w:tcPr>
            <w:tcW w:w="90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2025</w:t>
            </w:r>
          </w:p>
        </w:tc>
        <w:tc>
          <w:tcPr>
            <w:tcW w:w="346" w:type="dxa"/>
            <w:tcBorders/>
            <w:vAlign w:val="center"/>
          </w:tcPr>
          <w:p>
            <w:pPr>
              <w:pStyle w:val="TableContents"/>
              <w:bidi w:val="0"/>
              <w:spacing w:before="0" w:after="0"/>
              <w:ind w:left="0" w:right="0" w:hanging="0"/>
              <w:jc w:val="center"/>
              <w:rPr/>
            </w:pPr>
            <w:r>
              <w:rPr/>
              <w:t>  ​ ​ ​</w:t>
            </w:r>
          </w:p>
        </w:tc>
        <w:tc>
          <w:tcPr>
            <w:tcW w:w="99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2026</w:t>
            </w:r>
          </w:p>
        </w:tc>
      </w:tr>
      <w:tr>
        <w:trPr/>
        <w:tc>
          <w:tcPr>
            <w:tcW w:w="7372" w:type="dxa"/>
            <w:gridSpan w:val="7"/>
            <w:tcBorders/>
            <w:vAlign w:val="center"/>
          </w:tcPr>
          <w:p>
            <w:pPr>
              <w:pStyle w:val="TableContents"/>
              <w:bidi w:val="0"/>
              <w:spacing w:before="0" w:after="283"/>
              <w:ind w:left="0" w:right="0" w:hanging="0"/>
              <w:jc w:val="left"/>
              <w:rPr>
                <w:sz w:val="4"/>
                <w:szCs w:val="4"/>
              </w:rPr>
            </w:pPr>
            <w:r>
              <w:rPr>
                <w:sz w:val="4"/>
                <w:szCs w:val="4"/>
              </w:rPr>
            </w:r>
          </w:p>
        </w:tc>
      </w:tr>
      <w:tr>
        <w:trPr/>
        <w:tc>
          <w:tcPr>
            <w:tcW w:w="478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2240" w:type="dxa"/>
            <w:gridSpan w:val="5"/>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(unaudited)</w:t>
            </w:r>
          </w:p>
        </w:tc>
      </w:tr>
      <w:tr>
        <w:trPr/>
        <w:tc>
          <w:tcPr>
            <w:tcW w:w="478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sales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40,272</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40,569</w:t>
            </w:r>
          </w:p>
        </w:tc>
      </w:tr>
      <w:tr>
        <w:trPr/>
        <w:tc>
          <w:tcPr>
            <w:tcW w:w="478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Cost of sales</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69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28,109</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78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27,317</w:t>
            </w:r>
          </w:p>
        </w:tc>
      </w:tr>
      <w:tr>
        <w:trPr/>
        <w:tc>
          <w:tcPr>
            <w:tcW w:w="4786"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left"/>
              <w:rPr/>
            </w:pPr>
            <w:r>
              <w:rPr/>
              <w:t>​</w:t>
            </w:r>
          </w:p>
        </w:tc>
      </w:tr>
      <w:tr>
        <w:trPr/>
        <w:tc>
          <w:tcPr>
            <w:tcW w:w="478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Gross margin</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12,163</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13,252</w:t>
            </w:r>
          </w:p>
        </w:tc>
      </w:tr>
      <w:tr>
        <w:trPr/>
        <w:tc>
          <w:tcPr>
            <w:tcW w:w="4786"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left"/>
              <w:rPr/>
            </w:pPr>
            <w:r>
              <w:rPr/>
              <w:t>​</w:t>
            </w:r>
          </w:p>
        </w:tc>
      </w:tr>
      <w:tr>
        <w:trPr/>
        <w:tc>
          <w:tcPr>
            <w:tcW w:w="478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Selling, general and administrative expense</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6,294</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6,202</w:t>
            </w:r>
          </w:p>
        </w:tc>
      </w:tr>
      <w:tr>
        <w:trPr/>
        <w:tc>
          <w:tcPr>
            <w:tcW w:w="478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Corporate expense</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69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2,721</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8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2,943</w:t>
            </w:r>
          </w:p>
        </w:tc>
      </w:tr>
      <w:tr>
        <w:trPr/>
        <w:tc>
          <w:tcPr>
            <w:tcW w:w="478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left"/>
              <w:rPr/>
            </w:pPr>
            <w:r>
              <w:rPr/>
              <w:t>​</w:t>
            </w:r>
          </w:p>
        </w:tc>
      </w:tr>
      <w:tr>
        <w:trPr/>
        <w:tc>
          <w:tcPr>
            <w:tcW w:w="478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Income from operations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69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3,148</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8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4,107</w:t>
            </w:r>
          </w:p>
        </w:tc>
      </w:tr>
      <w:tr>
        <w:trPr/>
        <w:tc>
          <w:tcPr>
            <w:tcW w:w="478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left"/>
              <w:rPr/>
            </w:pPr>
            <w:r>
              <w:rPr/>
              <w:t>​</w:t>
            </w:r>
          </w:p>
        </w:tc>
      </w:tr>
      <w:tr>
        <w:trPr/>
        <w:tc>
          <w:tcPr>
            <w:tcW w:w="478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Equity in earnings (losses) of Kronos Worldwide, Inc.</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5,525</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(1,477)</w:t>
            </w:r>
          </w:p>
        </w:tc>
      </w:tr>
      <w:tr>
        <w:trPr/>
        <w:tc>
          <w:tcPr>
            <w:tcW w:w="478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left"/>
              <w:rPr/>
            </w:pPr>
            <w:r>
              <w:rPr/>
              <w:t>​</w:t>
            </w:r>
          </w:p>
        </w:tc>
      </w:tr>
      <w:tr>
        <w:trPr/>
        <w:tc>
          <w:tcPr>
            <w:tcW w:w="478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 income (expense):</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691" w:type="dxa"/>
            <w:tcBorders/>
            <w:shd w:fill="CCEEFF" w:val="clear"/>
            <w:vAlign w:val="center"/>
          </w:tcPr>
          <w:p>
            <w:pPr>
              <w:pStyle w:val="TableContents"/>
              <w:bidi w:val="0"/>
              <w:spacing w:before="0" w:after="0"/>
              <w:ind w:left="0" w:right="0" w:hanging="0"/>
              <w:jc w:val="right"/>
              <w:rPr/>
            </w:pPr>
            <w:r>
              <w:rPr/>
              <w:t>  ​</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81" w:type="dxa"/>
            <w:tcBorders/>
            <w:shd w:fill="CCEEFF" w:val="clear"/>
            <w:vAlign w:val="center"/>
          </w:tcPr>
          <w:p>
            <w:pPr>
              <w:pStyle w:val="TableContents"/>
              <w:bidi w:val="0"/>
              <w:spacing w:before="0" w:after="0"/>
              <w:ind w:left="0" w:right="0" w:hanging="0"/>
              <w:jc w:val="right"/>
              <w:rPr/>
            </w:pPr>
            <w:r>
              <w:rPr/>
              <w:t>  ​</w:t>
            </w:r>
          </w:p>
        </w:tc>
      </w:tr>
      <w:tr>
        <w:trPr/>
        <w:tc>
          <w:tcPr>
            <w:tcW w:w="478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Interest and dividend income</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2,038</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1,252</w:t>
            </w:r>
          </w:p>
        </w:tc>
      </w:tr>
      <w:tr>
        <w:trPr/>
        <w:tc>
          <w:tcPr>
            <w:tcW w:w="478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Marketable equity securities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(8,552)</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2,695</w:t>
            </w:r>
          </w:p>
        </w:tc>
      </w:tr>
      <w:tr>
        <w:trPr/>
        <w:tc>
          <w:tcPr>
            <w:tcW w:w="478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 components of net periodic pension and OPEB cost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(285)</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pPr>
            <w:r>
              <w:rPr/>
              <w:t>—</w:t>
            </w:r>
          </w:p>
        </w:tc>
      </w:tr>
      <w:tr>
        <w:trPr/>
        <w:tc>
          <w:tcPr>
            <w:tcW w:w="478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Interest expense</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69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(575)</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8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(11)</w:t>
            </w:r>
          </w:p>
        </w:tc>
      </w:tr>
      <w:tr>
        <w:trPr/>
        <w:tc>
          <w:tcPr>
            <w:tcW w:w="478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left"/>
              <w:rPr/>
            </w:pPr>
            <w:r>
              <w:rPr/>
              <w:t>​</w:t>
            </w:r>
          </w:p>
        </w:tc>
      </w:tr>
      <w:tr>
        <w:trPr/>
        <w:tc>
          <w:tcPr>
            <w:tcW w:w="478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Income before income taxes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1,299</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6,566</w:t>
            </w:r>
          </w:p>
        </w:tc>
      </w:tr>
      <w:tr>
        <w:trPr/>
        <w:tc>
          <w:tcPr>
            <w:tcW w:w="478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left"/>
              <w:rPr/>
            </w:pPr>
            <w:r>
              <w:rPr/>
              <w:t>​</w:t>
            </w:r>
          </w:p>
        </w:tc>
      </w:tr>
      <w:tr>
        <w:trPr/>
        <w:tc>
          <w:tcPr>
            <w:tcW w:w="478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Income tax expense (benefit)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69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8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1,472</w:t>
            </w:r>
          </w:p>
        </w:tc>
      </w:tr>
      <w:tr>
        <w:trPr/>
        <w:tc>
          <w:tcPr>
            <w:tcW w:w="478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left"/>
              <w:rPr/>
            </w:pPr>
            <w:r>
              <w:rPr/>
              <w:t>​</w:t>
            </w:r>
          </w:p>
        </w:tc>
      </w:tr>
      <w:tr>
        <w:trPr/>
        <w:tc>
          <w:tcPr>
            <w:tcW w:w="478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income</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1,322</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5,094</w:t>
            </w:r>
          </w:p>
        </w:tc>
      </w:tr>
      <w:tr>
        <w:trPr/>
        <w:tc>
          <w:tcPr>
            <w:tcW w:w="478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Noncontrolling interest in net income of subsidiary</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69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655</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78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750</w:t>
            </w:r>
          </w:p>
        </w:tc>
      </w:tr>
      <w:tr>
        <w:trPr/>
        <w:tc>
          <w:tcPr>
            <w:tcW w:w="4786"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left"/>
              <w:rPr/>
            </w:pPr>
            <w:r>
              <w:rPr/>
              <w:t>​</w:t>
            </w:r>
          </w:p>
        </w:tc>
      </w:tr>
      <w:tr>
        <w:trPr/>
        <w:tc>
          <w:tcPr>
            <w:tcW w:w="478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income attributable to NL stockholders</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9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667</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78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4,344</w:t>
            </w:r>
          </w:p>
        </w:tc>
      </w:tr>
      <w:tr>
        <w:trPr/>
        <w:tc>
          <w:tcPr>
            <w:tcW w:w="4786"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left"/>
              <w:rPr/>
            </w:pPr>
            <w:r>
              <w:rPr/>
              <w:t>​</w:t>
            </w:r>
          </w:p>
        </w:tc>
      </w:tr>
      <w:tr>
        <w:trPr/>
        <w:tc>
          <w:tcPr>
            <w:tcW w:w="478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Amounts attributable to NL stockholders:</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pPr>
            <w:r>
              <w:rPr/>
              <w:t>  ​</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pPr>
            <w:r>
              <w:rPr/>
              <w:t>  ​</w:t>
            </w:r>
          </w:p>
        </w:tc>
      </w:tr>
      <w:tr>
        <w:trPr/>
        <w:tc>
          <w:tcPr>
            <w:tcW w:w="478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Basic and diluted net income per share</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9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.01</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78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.09</w:t>
            </w:r>
          </w:p>
        </w:tc>
      </w:tr>
      <w:tr>
        <w:trPr/>
        <w:tc>
          <w:tcPr>
            <w:tcW w:w="478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left"/>
              <w:rPr/>
            </w:pPr>
            <w:r>
              <w:rPr/>
              <w:t>​</w:t>
            </w:r>
          </w:p>
        </w:tc>
      </w:tr>
      <w:tr>
        <w:trPr/>
        <w:tc>
          <w:tcPr>
            <w:tcW w:w="478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Weighted average shares used in the calculation of </w:t>
              <w:br/>
              <w:t>  net income per share</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69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48,848</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81" w:type="dxa"/>
            <w:tcBorders>
              <w:bottom w:val="double" w:sz="6" w:space="0" w:color="000000"/>
            </w:tcBorders>
            <w:shd w:fill="CCEEFF" w:val="clear"/>
            <w:tcMar>
              <w:bottom w:w="28" w:type="dxa"/>
            </w:tcMar>
            <w:vAlign w:val="center"/>
          </w:tcPr>
          <w:p>
            <w:pPr>
              <w:pStyle w:val="TableContents"/>
              <w:bidi w:val="0"/>
              <w:spacing w:before="0" w:after="0"/>
              <w:ind w:left="0" w:right="60" w:hanging="0"/>
              <w:jc w:val="right"/>
              <w:rPr>
                <w:rFonts w:ascii="Times New Roman;Times;serif" w:hAnsi="Times New Roman;Times;serif"/>
                <w:b/>
                <w:sz w:val="20"/>
              </w:rPr>
            </w:pPr>
            <w:r>
              <w:rPr>
                <w:rFonts w:ascii="Times New Roman;Times;serif" w:hAnsi="Times New Roman;Times;serif"/>
                <w:b/>
                <w:sz w:val="20"/>
              </w:rPr>
              <w:t>48,863</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360"/>
        <w:ind w:left="0" w:right="0" w:hanging="0"/>
        <w:jc w:val="center"/>
        <w:rPr>
          <w:rFonts w:ascii="Times New Roman;Times;serif" w:hAnsi="Times New Roman;Times;serif"/>
          <w:sz w:val="20"/>
        </w:rPr>
      </w:pPr>
      <w:r>
        <w:rPr>
          <w:rFonts w:ascii="Times New Roman;Times;serif" w:hAnsi="Times New Roman;Times;serif"/>
          <w:sz w:val="20"/>
        </w:rPr>
        <w:t>See accompanying notes to Condensed Consolidated Financial Statements.</w:t>
      </w:r>
    </w:p>
    <w:p>
      <w:pPr>
        <w:pStyle w:val="TextBody"/>
        <w:bidi w:val="0"/>
        <w:spacing w:before="0" w:after="240"/>
        <w:ind w:left="0" w:right="0" w:firstLine="360"/>
        <w:jc w:val="center"/>
        <w:rPr/>
      </w:pPr>
      <w:r>
        <w:rPr/>
        <w:t>​</w:t>
      </w:r>
    </w:p>
    <w:p>
      <w:pPr>
        <w:pStyle w:val="TextBody"/>
        <w:bidi w:val="0"/>
        <w:spacing w:before="0" w:after="0"/>
        <w:ind w:left="0" w:right="0" w:hanging="0"/>
        <w:jc w:val="left"/>
        <w:rPr/>
      </w:pPr>
      <w:r>
        <w:rPr/>
        <w:t>​</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5</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120"/>
        <w:ind w:left="0" w:right="0" w:hanging="0"/>
        <w:jc w:val="center"/>
        <w:rPr>
          <w:rFonts w:ascii="Times New Roman;Times;serif" w:hAnsi="Times New Roman;Times;serif"/>
          <w:b/>
          <w:sz w:val="20"/>
        </w:rPr>
      </w:pPr>
      <w:bookmarkStart w:id="251" w:name="_e59deccc_531f_42b3_a2f3_144c0ffb6dcf"/>
      <w:bookmarkEnd w:id="251"/>
      <w:r>
        <w:rPr>
          <w:rFonts w:ascii="Times New Roman;Times;serif" w:hAnsi="Times New Roman;Times;serif"/>
          <w:b/>
          <w:sz w:val="20"/>
        </w:rPr>
        <w:t>NL INDUSTRIES, INC. AND SUBSIDIARIES</w:t>
      </w:r>
    </w:p>
    <w:p>
      <w:pPr>
        <w:pStyle w:val="TextBody"/>
        <w:bidi w:val="0"/>
        <w:spacing w:before="0" w:after="120"/>
        <w:ind w:left="0" w:right="0" w:hanging="0"/>
        <w:jc w:val="center"/>
        <w:rPr>
          <w:rFonts w:ascii="Times New Roman;Times;serif" w:hAnsi="Times New Roman;Times;serif"/>
          <w:b/>
          <w:sz w:val="20"/>
        </w:rPr>
      </w:pPr>
      <w:bookmarkStart w:id="252" w:name="CONDENSEDCONSOLIDATEDSTATEMENTSOFCOMPREH"/>
      <w:bookmarkEnd w:id="252"/>
      <w:r>
        <w:rPr>
          <w:rFonts w:ascii="Times New Roman;Times;serif" w:hAnsi="Times New Roman;Times;serif"/>
          <w:b/>
          <w:sz w:val="20"/>
        </w:rPr>
        <w:t>CONDENSED CONSOLIDATED STATEMENTS OF COMPREHENSIVE INCOME</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(In thousands)</w:t>
      </w:r>
    </w:p>
    <w:p>
      <w:pPr>
        <w:pStyle w:val="TextBody"/>
        <w:bidi w:val="0"/>
        <w:spacing w:before="0" w:after="240"/>
        <w:ind w:left="0" w:right="0" w:hanging="0"/>
        <w:jc w:val="both"/>
        <w:rPr/>
      </w:pPr>
      <w:r>
        <w:rPr/>
        <w:t>​</w:t>
      </w:r>
    </w:p>
    <w:p>
      <w:pPr>
        <w:pStyle w:val="Normal"/>
        <w:bidi w:val="0"/>
        <w:spacing w:before="0" w:after="0"/>
        <w:jc w:val="left"/>
        <w:rPr>
          <w:sz w:val="4"/>
          <w:szCs w:val="4"/>
        </w:rPr>
      </w:pPr>
      <w:r>
        <w:rPr>
          <w:sz w:val="4"/>
          <w:szCs w:val="4"/>
        </w:rPr>
      </w:r>
      <w:bookmarkStart w:id="253" w:name="Tc_1O5iotz-_UqulNzaOm2AzA_17_5"/>
      <w:bookmarkStart w:id="254" w:name="Tc_1N1as4tKhUe9NXUtFsF5rw_17_2"/>
      <w:bookmarkStart w:id="255" w:name="Tc_74h6AseqKUSknNgstxxPTA_17_0"/>
      <w:bookmarkStart w:id="256" w:name="Tc_l91nfjwdvkCsSgA4SPLIlg_15_0"/>
      <w:bookmarkStart w:id="257" w:name="Tc_ivar5JvIW0C3Eb0lnV7LRA_14_0"/>
      <w:bookmarkStart w:id="258" w:name="Tc_xbXA7jfMD02JMj2TJTz0Lg_12_0"/>
      <w:bookmarkStart w:id="259" w:name="Tc_XMA94FE5rkiN8NF5veSLTQ_10_0"/>
      <w:bookmarkStart w:id="260" w:name="Tc_CVHWmhkbvke_MOiyWDo1dg_9_0"/>
      <w:bookmarkStart w:id="261" w:name="Tc_-eIJv740oU69dfOcstckJg_8_0"/>
      <w:bookmarkStart w:id="262" w:name="Tc_sjvilaNGJESN-uO_vX9JgA_7_0"/>
      <w:bookmarkStart w:id="263" w:name="Tc_nl0KIFVgwEekR8bzZcWEnA_5_5"/>
      <w:bookmarkStart w:id="264" w:name="Tc_M1N6JxlPekCY2VPoef0zGA_5_2"/>
      <w:bookmarkStart w:id="265" w:name="Tc_xgn6Ufq3wUidxwepvlRwQw_5_0"/>
      <w:bookmarkStart w:id="266" w:name="Tc_q3qBYmw2jUmtXHjk6oTtVA_4_2"/>
      <w:bookmarkStart w:id="267" w:name="Tc_xS-zUQnuHUG7AmRKmIs4bg_3_5"/>
      <w:bookmarkStart w:id="268" w:name="Tc_iZ-9hyjLdUK_zi9CE877qA_3_2"/>
      <w:bookmarkStart w:id="269" w:name="Tc_DYxorw0pkEKM6VrQ_D8LGg_2_2"/>
      <w:bookmarkStart w:id="270" w:name="Tc_vik0jznEXU6Q0ba2B24JRw_1_2"/>
      <w:bookmarkStart w:id="271" w:name="_edee080f_6650_4a6b_ab47_d21b54b83ca1"/>
      <w:bookmarkStart w:id="272" w:name="Tc_1O5iotz-_UqulNzaOm2AzA_17_5"/>
      <w:bookmarkStart w:id="273" w:name="Tc_1N1as4tKhUe9NXUtFsF5rw_17_2"/>
      <w:bookmarkStart w:id="274" w:name="Tc_74h6AseqKUSknNgstxxPTA_17_0"/>
      <w:bookmarkStart w:id="275" w:name="Tc_l91nfjwdvkCsSgA4SPLIlg_15_0"/>
      <w:bookmarkStart w:id="276" w:name="Tc_ivar5JvIW0C3Eb0lnV7LRA_14_0"/>
      <w:bookmarkStart w:id="277" w:name="Tc_xbXA7jfMD02JMj2TJTz0Lg_12_0"/>
      <w:bookmarkStart w:id="278" w:name="Tc_XMA94FE5rkiN8NF5veSLTQ_10_0"/>
      <w:bookmarkStart w:id="279" w:name="Tc_CVHWmhkbvke_MOiyWDo1dg_9_0"/>
      <w:bookmarkStart w:id="280" w:name="Tc_-eIJv740oU69dfOcstckJg_8_0"/>
      <w:bookmarkStart w:id="281" w:name="Tc_sjvilaNGJESN-uO_vX9JgA_7_0"/>
      <w:bookmarkStart w:id="282" w:name="Tc_nl0KIFVgwEekR8bzZcWEnA_5_5"/>
      <w:bookmarkStart w:id="283" w:name="Tc_M1N6JxlPekCY2VPoef0zGA_5_2"/>
      <w:bookmarkStart w:id="284" w:name="Tc_xgn6Ufq3wUidxwepvlRwQw_5_0"/>
      <w:bookmarkStart w:id="285" w:name="Tc_q3qBYmw2jUmtXHjk6oTtVA_4_2"/>
      <w:bookmarkStart w:id="286" w:name="Tc_xS-zUQnuHUG7AmRKmIs4bg_3_5"/>
      <w:bookmarkStart w:id="287" w:name="Tc_iZ-9hyjLdUK_zi9CE877qA_3_2"/>
      <w:bookmarkStart w:id="288" w:name="Tc_DYxorw0pkEKM6VrQ_D8LGg_2_2"/>
      <w:bookmarkStart w:id="289" w:name="Tc_vik0jznEXU6Q0ba2B24JRw_1_2"/>
      <w:bookmarkStart w:id="290" w:name="_edee080f_6650_4a6b_ab47_d21b54b83ca1"/>
      <w:bookmarkEnd w:id="272"/>
      <w:bookmarkEnd w:id="273"/>
      <w:bookmarkEnd w:id="274"/>
      <w:bookmarkEnd w:id="275"/>
      <w:bookmarkEnd w:id="276"/>
      <w:bookmarkEnd w:id="277"/>
      <w:bookmarkEnd w:id="278"/>
      <w:bookmarkEnd w:id="279"/>
      <w:bookmarkEnd w:id="280"/>
      <w:bookmarkEnd w:id="281"/>
      <w:bookmarkEnd w:id="282"/>
      <w:bookmarkEnd w:id="283"/>
      <w:bookmarkEnd w:id="284"/>
      <w:bookmarkEnd w:id="285"/>
      <w:bookmarkEnd w:id="286"/>
      <w:bookmarkEnd w:id="287"/>
      <w:bookmarkEnd w:id="288"/>
      <w:bookmarkEnd w:id="289"/>
      <w:bookmarkEnd w:id="290"/>
    </w:p>
    <w:tbl>
      <w:tblPr>
        <w:tblW w:w="7522" w:type="dxa"/>
        <w:jc w:val="left"/>
        <w:tblInd w:w="0" w:type="dxa"/>
        <w:tblLayout w:type="fixed"/>
        <w:tblCellMar>
          <w:top w:w="0" w:type="dxa"/>
          <w:left w:w="0" w:type="dxa"/>
          <w:bottom w:w="0" w:type="dxa"/>
          <w:right w:w="0" w:type="dxa"/>
        </w:tblCellMar>
      </w:tblPr>
      <w:tblGrid>
        <w:gridCol w:w="5161"/>
        <w:gridCol w:w="346"/>
        <w:gridCol w:w="211"/>
        <w:gridCol w:w="571"/>
        <w:gridCol w:w="346"/>
        <w:gridCol w:w="211"/>
        <w:gridCol w:w="676"/>
      </w:tblGrid>
      <w:tr>
        <w:trPr/>
        <w:tc>
          <w:tcPr>
            <w:tcW w:w="51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3277235" cy="175260"/>
                      <wp:effectExtent l="0" t="0" r="0" b="0"/>
                      <wp:wrapNone/>
                      <wp:docPr id="25" name="Frame25"/>
                      <a:graphic xmlns:a="http://schemas.openxmlformats.org/drawingml/2006/main">
                        <a:graphicData uri="http://schemas.microsoft.com/office/word/2010/wordprocessingShape">
                          <wps:wsp>
                            <wps:cNvSpPr txBox="1"/>
                            <wps:spPr>
                              <a:xfrm>
                                <a:off x="0" y="0"/>
                                <a:ext cx="32772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58.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219710" cy="175260"/>
                      <wp:effectExtent l="0" t="0" r="0" b="0"/>
                      <wp:wrapNone/>
                      <wp:docPr id="26" name="Frame26"/>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133985" cy="175260"/>
                      <wp:effectExtent l="0" t="0" r="0" b="0"/>
                      <wp:wrapNone/>
                      <wp:docPr id="27" name="Frame27"/>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362585" cy="175260"/>
                      <wp:effectExtent l="0" t="0" r="0" b="0"/>
                      <wp:wrapNone/>
                      <wp:docPr id="28" name="Frame28"/>
                      <a:graphic xmlns:a="http://schemas.openxmlformats.org/drawingml/2006/main">
                        <a:graphicData uri="http://schemas.microsoft.com/office/word/2010/wordprocessingShape">
                          <wps:wsp>
                            <wps:cNvSpPr txBox="1"/>
                            <wps:spPr>
                              <a:xfrm>
                                <a:off x="0" y="0"/>
                                <a:ext cx="3625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219710" cy="175260"/>
                      <wp:effectExtent l="0" t="0" r="0" b="0"/>
                      <wp:wrapNone/>
                      <wp:docPr id="29" name="Frame29"/>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133985" cy="175260"/>
                      <wp:effectExtent l="0" t="0" r="0" b="0"/>
                      <wp:wrapNone/>
                      <wp:docPr id="30" name="Frame30"/>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429260" cy="175260"/>
                      <wp:effectExtent l="0" t="0" r="0" b="0"/>
                      <wp:wrapNone/>
                      <wp:docPr id="31" name="Frame31"/>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516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2015" w:type="dxa"/>
            <w:gridSpan w:val="5"/>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 xml:space="preserve">Three months ended </w:t>
            </w:r>
          </w:p>
        </w:tc>
      </w:tr>
      <w:tr>
        <w:trPr/>
        <w:tc>
          <w:tcPr>
            <w:tcW w:w="516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2015"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March 31, </w:t>
            </w:r>
          </w:p>
        </w:tc>
      </w:tr>
      <w:tr>
        <w:trPr/>
        <w:tc>
          <w:tcPr>
            <w:tcW w:w="516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  ​ ​ ​</w:t>
            </w:r>
          </w:p>
        </w:tc>
        <w:tc>
          <w:tcPr>
            <w:tcW w:w="78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2025</w:t>
            </w:r>
          </w:p>
        </w:tc>
        <w:tc>
          <w:tcPr>
            <w:tcW w:w="346" w:type="dxa"/>
            <w:tcBorders/>
            <w:vAlign w:val="center"/>
          </w:tcPr>
          <w:p>
            <w:pPr>
              <w:pStyle w:val="TableContents"/>
              <w:bidi w:val="0"/>
              <w:spacing w:before="0" w:after="0"/>
              <w:ind w:left="0" w:right="0" w:hanging="0"/>
              <w:jc w:val="center"/>
              <w:rPr/>
            </w:pPr>
            <w:r>
              <w:rPr/>
              <w:t>  ​ ​ ​</w:t>
            </w:r>
          </w:p>
        </w:tc>
        <w:tc>
          <w:tcPr>
            <w:tcW w:w="88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2026</w:t>
            </w:r>
          </w:p>
        </w:tc>
      </w:tr>
      <w:tr>
        <w:trPr/>
        <w:tc>
          <w:tcPr>
            <w:tcW w:w="7522" w:type="dxa"/>
            <w:gridSpan w:val="7"/>
            <w:tcBorders/>
            <w:vAlign w:val="center"/>
          </w:tcPr>
          <w:p>
            <w:pPr>
              <w:pStyle w:val="TableContents"/>
              <w:bidi w:val="0"/>
              <w:spacing w:before="0" w:after="283"/>
              <w:ind w:left="0" w:right="0" w:hanging="0"/>
              <w:jc w:val="left"/>
              <w:rPr>
                <w:sz w:val="4"/>
                <w:szCs w:val="4"/>
              </w:rPr>
            </w:pPr>
            <w:r>
              <w:rPr>
                <w:sz w:val="4"/>
                <w:szCs w:val="4"/>
              </w:rPr>
            </w:r>
          </w:p>
        </w:tc>
      </w:tr>
      <w:tr>
        <w:trPr/>
        <w:tc>
          <w:tcPr>
            <w:tcW w:w="516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2015" w:type="dxa"/>
            <w:gridSpan w:val="5"/>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(unaudited)</w:t>
            </w:r>
          </w:p>
        </w:tc>
      </w:tr>
      <w:tr>
        <w:trPr/>
        <w:tc>
          <w:tcPr>
            <w:tcW w:w="516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income</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7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1,322</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67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5,094</w:t>
            </w:r>
          </w:p>
        </w:tc>
      </w:tr>
      <w:tr>
        <w:trPr/>
        <w:tc>
          <w:tcPr>
            <w:tcW w:w="516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57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676" w:type="dxa"/>
            <w:tcBorders/>
            <w:vAlign w:val="center"/>
          </w:tcPr>
          <w:p>
            <w:pPr>
              <w:pStyle w:val="TableContents"/>
              <w:bidi w:val="0"/>
              <w:spacing w:before="0" w:after="0"/>
              <w:ind w:left="0" w:right="0" w:hanging="0"/>
              <w:jc w:val="left"/>
              <w:rPr/>
            </w:pPr>
            <w:r>
              <w:rPr/>
              <w:t>​</w:t>
            </w:r>
          </w:p>
        </w:tc>
      </w:tr>
      <w:tr>
        <w:trPr/>
        <w:tc>
          <w:tcPr>
            <w:tcW w:w="516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 comprehensive income (loss), net of tax:</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571" w:type="dxa"/>
            <w:tcBorders/>
            <w:shd w:fill="CCEEFF" w:val="clear"/>
            <w:vAlign w:val="center"/>
          </w:tcPr>
          <w:p>
            <w:pPr>
              <w:pStyle w:val="TableContents"/>
              <w:bidi w:val="0"/>
              <w:spacing w:before="0" w:after="0"/>
              <w:ind w:left="0" w:right="0" w:hanging="0"/>
              <w:jc w:val="right"/>
              <w:rPr/>
            </w:pPr>
            <w:r>
              <w:rPr/>
              <w:t>  ​</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676" w:type="dxa"/>
            <w:tcBorders/>
            <w:shd w:fill="CCEEFF" w:val="clear"/>
            <w:vAlign w:val="center"/>
          </w:tcPr>
          <w:p>
            <w:pPr>
              <w:pStyle w:val="TableContents"/>
              <w:bidi w:val="0"/>
              <w:spacing w:before="0" w:after="0"/>
              <w:ind w:left="0" w:right="0" w:hanging="0"/>
              <w:jc w:val="right"/>
              <w:rPr/>
            </w:pPr>
            <w:r>
              <w:rPr/>
              <w:t>  ​</w:t>
            </w:r>
          </w:p>
        </w:tc>
      </w:tr>
      <w:tr>
        <w:trPr/>
        <w:tc>
          <w:tcPr>
            <w:tcW w:w="516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Currency translation</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4,185</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1,015</w:t>
            </w:r>
          </w:p>
        </w:tc>
      </w:tr>
      <w:tr>
        <w:trPr/>
        <w:tc>
          <w:tcPr>
            <w:tcW w:w="516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Defined benefit pension plans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5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317</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86</w:t>
            </w:r>
          </w:p>
        </w:tc>
      </w:tr>
      <w:tr>
        <w:trPr/>
        <w:tc>
          <w:tcPr>
            <w:tcW w:w="516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 postretirement benefit plans</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57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(33)</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67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w:t>
            </w:r>
          </w:p>
        </w:tc>
      </w:tr>
      <w:tr>
        <w:trPr/>
        <w:tc>
          <w:tcPr>
            <w:tcW w:w="5161"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571"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676" w:type="dxa"/>
            <w:tcBorders/>
            <w:shd w:fill="CCEEFF" w:val="clear"/>
            <w:vAlign w:val="center"/>
          </w:tcPr>
          <w:p>
            <w:pPr>
              <w:pStyle w:val="TableContents"/>
              <w:bidi w:val="0"/>
              <w:spacing w:before="0" w:after="0"/>
              <w:ind w:left="0" w:right="0" w:hanging="0"/>
              <w:jc w:val="left"/>
              <w:rPr/>
            </w:pPr>
            <w:r>
              <w:rPr/>
              <w:t>​</w:t>
            </w:r>
          </w:p>
        </w:tc>
      </w:tr>
      <w:tr>
        <w:trPr/>
        <w:tc>
          <w:tcPr>
            <w:tcW w:w="516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other comprehensive income, net</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57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4,469</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67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1,102</w:t>
            </w:r>
          </w:p>
        </w:tc>
      </w:tr>
      <w:tr>
        <w:trPr/>
        <w:tc>
          <w:tcPr>
            <w:tcW w:w="5161"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571"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676" w:type="dxa"/>
            <w:tcBorders/>
            <w:shd w:fill="CCEEFF" w:val="clear"/>
            <w:vAlign w:val="center"/>
          </w:tcPr>
          <w:p>
            <w:pPr>
              <w:pStyle w:val="TableContents"/>
              <w:bidi w:val="0"/>
              <w:spacing w:before="0" w:after="0"/>
              <w:ind w:left="0" w:right="0" w:hanging="0"/>
              <w:jc w:val="left"/>
              <w:rPr/>
            </w:pPr>
            <w:r>
              <w:rPr/>
              <w:t>​</w:t>
            </w:r>
          </w:p>
        </w:tc>
      </w:tr>
      <w:tr>
        <w:trPr/>
        <w:tc>
          <w:tcPr>
            <w:tcW w:w="516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Comprehensive income</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5,791</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6,196</w:t>
            </w:r>
          </w:p>
        </w:tc>
      </w:tr>
      <w:tr>
        <w:trPr/>
        <w:tc>
          <w:tcPr>
            <w:tcW w:w="516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Comprehensive income attributable to noncontrolling interest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57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655</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67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750</w:t>
            </w:r>
          </w:p>
        </w:tc>
      </w:tr>
      <w:tr>
        <w:trPr/>
        <w:tc>
          <w:tcPr>
            <w:tcW w:w="516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57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676" w:type="dxa"/>
            <w:tcBorders/>
            <w:vAlign w:val="center"/>
          </w:tcPr>
          <w:p>
            <w:pPr>
              <w:pStyle w:val="TableContents"/>
              <w:bidi w:val="0"/>
              <w:spacing w:before="0" w:after="0"/>
              <w:ind w:left="0" w:right="0" w:hanging="0"/>
              <w:jc w:val="left"/>
              <w:rPr/>
            </w:pPr>
            <w:r>
              <w:rPr/>
              <w:t>​</w:t>
            </w:r>
          </w:p>
        </w:tc>
      </w:tr>
      <w:tr>
        <w:trPr/>
        <w:tc>
          <w:tcPr>
            <w:tcW w:w="516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Comprehensive income attributable to NL stockholders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7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5,136</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676" w:type="dxa"/>
            <w:tcBorders>
              <w:bottom w:val="double" w:sz="6" w:space="0" w:color="000000"/>
            </w:tcBorders>
            <w:shd w:fill="CCEEFF" w:val="clear"/>
            <w:tcMar>
              <w:bottom w:w="28" w:type="dxa"/>
            </w:tcMar>
            <w:vAlign w:val="center"/>
          </w:tcPr>
          <w:p>
            <w:pPr>
              <w:pStyle w:val="TableContents"/>
              <w:bidi w:val="0"/>
              <w:spacing w:before="0" w:after="0"/>
              <w:ind w:left="0" w:right="60" w:hanging="0"/>
              <w:jc w:val="right"/>
              <w:rPr>
                <w:rFonts w:ascii="Times New Roman;Times;serif" w:hAnsi="Times New Roman;Times;serif"/>
                <w:b/>
                <w:sz w:val="20"/>
              </w:rPr>
            </w:pPr>
            <w:r>
              <w:rPr>
                <w:rFonts w:ascii="Times New Roman;Times;serif" w:hAnsi="Times New Roman;Times;serif"/>
                <w:b/>
                <w:sz w:val="20"/>
              </w:rPr>
              <w:t>5,446</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360"/>
        <w:ind w:left="0" w:right="0" w:hanging="0"/>
        <w:jc w:val="center"/>
        <w:rPr>
          <w:rFonts w:ascii="Times New Roman;Times;serif" w:hAnsi="Times New Roman;Times;serif"/>
          <w:sz w:val="20"/>
        </w:rPr>
      </w:pPr>
      <w:r>
        <w:rPr>
          <w:rFonts w:ascii="Times New Roman;Times;serif" w:hAnsi="Times New Roman;Times;serif"/>
          <w:sz w:val="20"/>
        </w:rPr>
        <w:t>See accompanying notes to Condensed Consolidated Financial Statements.</w:t>
      </w:r>
    </w:p>
    <w:p>
      <w:pPr>
        <w:pStyle w:val="TextBody"/>
        <w:bidi w:val="0"/>
        <w:spacing w:before="0" w:after="240"/>
        <w:ind w:left="0" w:right="0" w:hanging="0"/>
        <w:jc w:val="center"/>
        <w:rPr/>
      </w:pPr>
      <w:r>
        <w:rPr/>
        <w:t>​</w:t>
      </w:r>
    </w:p>
    <w:p>
      <w:pPr>
        <w:pStyle w:val="TextBody"/>
        <w:bidi w:val="0"/>
        <w:spacing w:before="0" w:after="0"/>
        <w:ind w:left="0" w:right="0" w:hanging="0"/>
        <w:jc w:val="left"/>
        <w:rPr/>
      </w:pPr>
      <w:r>
        <w:rPr/>
        <w:t>​</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6</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120"/>
        <w:ind w:left="0" w:right="0" w:hanging="0"/>
        <w:jc w:val="center"/>
        <w:rPr>
          <w:rFonts w:ascii="Times New Roman;Times;serif" w:hAnsi="Times New Roman;Times;serif"/>
          <w:b/>
          <w:sz w:val="20"/>
        </w:rPr>
      </w:pPr>
      <w:bookmarkStart w:id="291" w:name="CONDENSEDCONSOLIDATEDSTATEMENTSOFEQUITY"/>
      <w:bookmarkStart w:id="292" w:name="_476bbb38_6893_47df_832b_5817b72f1f83"/>
      <w:bookmarkEnd w:id="291"/>
      <w:bookmarkEnd w:id="292"/>
      <w:r>
        <w:rPr>
          <w:rFonts w:ascii="Times New Roman;Times;serif" w:hAnsi="Times New Roman;Times;serif"/>
          <w:b/>
          <w:sz w:val="20"/>
        </w:rPr>
        <w:t>NL INDUSTRIES, INC. AND SUBSIDIARIES</w:t>
      </w:r>
    </w:p>
    <w:p>
      <w:pPr>
        <w:pStyle w:val="TextBody"/>
        <w:bidi w:val="0"/>
        <w:spacing w:before="0" w:after="120"/>
        <w:ind w:left="0" w:right="0" w:hanging="0"/>
        <w:jc w:val="center"/>
        <w:rPr>
          <w:rFonts w:ascii="Times New Roman;Times;serif" w:hAnsi="Times New Roman;Times;serif"/>
          <w:b/>
          <w:sz w:val="20"/>
        </w:rPr>
      </w:pPr>
      <w:r>
        <w:rPr>
          <w:rFonts w:ascii="Times New Roman;Times;serif" w:hAnsi="Times New Roman;Times;serif"/>
          <w:b/>
          <w:sz w:val="20"/>
        </w:rPr>
        <w:t>CONDENSED CONSOLIDATED STATEMENTS OF EQUITY</w:t>
      </w:r>
    </w:p>
    <w:p>
      <w:pPr>
        <w:pStyle w:val="TextBody"/>
        <w:bidi w:val="0"/>
        <w:spacing w:before="0" w:after="120"/>
        <w:ind w:left="0" w:right="0" w:hanging="0"/>
        <w:jc w:val="center"/>
        <w:rPr>
          <w:rFonts w:ascii="Times New Roman;Times;serif" w:hAnsi="Times New Roman;Times;serif"/>
          <w:b/>
          <w:sz w:val="20"/>
        </w:rPr>
      </w:pPr>
      <w:r>
        <w:rPr>
          <w:rFonts w:ascii="Times New Roman;Times;serif" w:hAnsi="Times New Roman;Times;serif"/>
          <w:b/>
          <w:sz w:val="20"/>
        </w:rPr>
        <w:t>(In thousands)</w:t>
      </w:r>
    </w:p>
    <w:p>
      <w:pPr>
        <w:pStyle w:val="Normal"/>
        <w:bidi w:val="0"/>
        <w:spacing w:before="0" w:after="0"/>
        <w:jc w:val="left"/>
        <w:rPr>
          <w:sz w:val="4"/>
          <w:szCs w:val="4"/>
        </w:rPr>
      </w:pPr>
      <w:r>
        <w:rPr>
          <w:sz w:val="4"/>
          <w:szCs w:val="4"/>
        </w:rPr>
      </w:r>
      <w:bookmarkStart w:id="293" w:name="Tc_ubb3fKlEcUKcHKNrMto8jg_20_17"/>
      <w:bookmarkStart w:id="294" w:name="Tc_Zn3SY0pYfE2s-4yvzaMZ0w_20_14"/>
      <w:bookmarkStart w:id="295" w:name="Tc_RbsfSaKkeUi6kRe1hL-xiw_20_11"/>
      <w:bookmarkStart w:id="296" w:name="Tc_yHLtpCMoYEKvPcXYOFWAzw_20_8"/>
      <w:bookmarkStart w:id="297" w:name="Tc_7z8YIMzzUke-pVvJDzgJsg_20_5"/>
      <w:bookmarkStart w:id="298" w:name="Tc_6iIiL0UagkOUcmRjhvcTmQ_20_2"/>
      <w:bookmarkStart w:id="299" w:name="Tc_lMB6jyzUG0uZcrwE2dl69A_20_0"/>
      <w:bookmarkStart w:id="300" w:name="Tc_5qJK2pRjzkqctKJ3MXK2Ew_18_12"/>
      <w:bookmarkStart w:id="301" w:name="Tc_rGpa5G_ca0iBwr1AmeK-mw_18_9"/>
      <w:bookmarkStart w:id="302" w:name="Tc_Eb2Hg2niLEu8bcWqrCiSfQ_18_6"/>
      <w:bookmarkStart w:id="303" w:name="Tc_VJcJg8eLakeesIYzzIIuKQ_18_3"/>
      <w:bookmarkStart w:id="304" w:name="Tc_ogMX_GeS_U6L3q2eMT_q0g_18_0"/>
      <w:bookmarkStart w:id="305" w:name="Tc_muBYIrml80q6s0IWAobHMA_17_15"/>
      <w:bookmarkStart w:id="306" w:name="Tc_CzlezLn0tkuNTOLNqu_BkA_17_12"/>
      <w:bookmarkStart w:id="307" w:name="Tc_yMTb55SfyUSgL2enmCKtEw_17_6"/>
      <w:bookmarkStart w:id="308" w:name="Tc_-kJjtsQbmUeJku5cyn_ojA_17_3"/>
      <w:bookmarkStart w:id="309" w:name="Tc_G9hPCNjwm0S1CnZAvWMYtw_17_0"/>
      <w:bookmarkStart w:id="310" w:name="Tc_aMqHFzQF1E-vKbmSxYKTcA_16_15"/>
      <w:bookmarkStart w:id="311" w:name="Tc_7cjCl3y7gkmtozQgP_t3Cw_16_9"/>
      <w:bookmarkStart w:id="312" w:name="Tc_6rRY0SEOd06ESo-PFhVjYA_16_6"/>
      <w:bookmarkStart w:id="313" w:name="Tc_oFaejfMHzEiaW-zpL8VqZQ_16_3"/>
      <w:bookmarkStart w:id="314" w:name="Tc_hZ7yj2EssUG2Zo1yI0YezA_16_0"/>
      <w:bookmarkStart w:id="315" w:name="Tc_JIl3O9paFUK-504tifOIWg_15_12"/>
      <w:bookmarkStart w:id="316" w:name="Tc_px8OtUTurE-EsQ5JZpDbqg_15_6"/>
      <w:bookmarkStart w:id="317" w:name="Tc_tCjN_X_zm0m6r4881eWxoA_15_3"/>
      <w:bookmarkStart w:id="318" w:name="Tc_6TpanZ8O10KgHLcu-gpI9w_15_0"/>
      <w:bookmarkStart w:id="319" w:name="Tc_kQ8eYCwd8UirDEtLOsm0qA_14_17"/>
      <w:bookmarkStart w:id="320" w:name="Tc_65nfpkcnQ06fBnQzQdFL-A_14_14"/>
      <w:bookmarkStart w:id="321" w:name="Tc_cFqsdPWaQ06f26SgpEbMfg_14_11"/>
      <w:bookmarkStart w:id="322" w:name="Tc_uu-9A7BEMEueWM1uvVi-9w_14_8"/>
      <w:bookmarkStart w:id="323" w:name="Tc_gdd9wN233kivlVXj3IYkBQ_14_5"/>
      <w:bookmarkStart w:id="324" w:name="Tc_2qBTwfo7rk2vMQ6Sw3AcIg_14_2"/>
      <w:bookmarkStart w:id="325" w:name="Tc_sYBCjNOWkEWcLyAGRTA0eA_14_0"/>
      <w:bookmarkStart w:id="326" w:name="Tc_vcUMeqSACk--n7ZY4j8w9Q_12_17"/>
      <w:bookmarkStart w:id="327" w:name="Tc_fUBsgmgv3kyG8HwHIiDOoQ_12_14"/>
      <w:bookmarkStart w:id="328" w:name="Tc_mt8EUO-MCUK_HKSoMvB2Zw_12_11"/>
      <w:bookmarkStart w:id="329" w:name="Tc_zZE1SNjrWkCp7wyV28_5Pw_12_8"/>
      <w:bookmarkStart w:id="330" w:name="Tc_RFFg77UVUUKjzXXVMvKwAg_12_5"/>
      <w:bookmarkStart w:id="331" w:name="Tc_AzTz7LWQmkOPI1yitW_vYg_12_2"/>
      <w:bookmarkStart w:id="332" w:name="Tc_1AThbhoZSU2JHkoGIGH1bQ_12_0"/>
      <w:bookmarkStart w:id="333" w:name="Tc_5PejZIbcp0eFbSSscBVK2g_10_12"/>
      <w:bookmarkStart w:id="334" w:name="Tc_Je-N5QMoBkm4IqNYONs1TA_10_9"/>
      <w:bookmarkStart w:id="335" w:name="Tc_P4DuXkvDD0Oioc34tpjyEA_10_6"/>
      <w:bookmarkStart w:id="336" w:name="Tc__F7_XESCdEOr3MQlMImG4w_10_3"/>
      <w:bookmarkStart w:id="337" w:name="Tc_qJgv_tWUu0S0SBZl_dekyw_10_0"/>
      <w:bookmarkStart w:id="338" w:name="Tc_EiVqcIlpfk6gPRLQqdWJFw_9_15"/>
      <w:bookmarkStart w:id="339" w:name="Tc_2LEi2CyXd0WqZrzu44I28A_9_12"/>
      <w:bookmarkStart w:id="340" w:name="Tc_nXQChQN_dESxs3gdKdeFsQ_9_6"/>
      <w:bookmarkStart w:id="341" w:name="Tc_TG4QKcpNREif7ajICltW_A_9_3"/>
      <w:bookmarkStart w:id="342" w:name="Tc_-e6uYAIHj0ac_AX-clxjCg_9_0"/>
      <w:bookmarkStart w:id="343" w:name="Tc_8uhPu02NjkyecqPaTFXKCg_8_15"/>
      <w:bookmarkStart w:id="344" w:name="Tc_oh-pYZjqZUaP1L7MkbsSKQ_8_9"/>
      <w:bookmarkStart w:id="345" w:name="Tc_FlA3BsOPx06qq4FqNkgu1A_8_6"/>
      <w:bookmarkStart w:id="346" w:name="Tc_3oEKm2j4VUOpWHXGAsrSQw_8_3"/>
      <w:bookmarkStart w:id="347" w:name="Tc_F-fsQlOIMUShBwsIbYFoWQ_8_0"/>
      <w:bookmarkStart w:id="348" w:name="Tc_X6T4OyltVEmhcyui_jgyjA_7_12"/>
      <w:bookmarkStart w:id="349" w:name="Tc_Q9DB5hCDIkGtgaWB1qY-Aw_7_6"/>
      <w:bookmarkStart w:id="350" w:name="Tc_HeS1HfOJkUyvMPmC6uNVtg_7_3"/>
      <w:bookmarkStart w:id="351" w:name="Tc_VIdlScsYrkOW1YLyH6Rc9g_7_0"/>
      <w:bookmarkStart w:id="352" w:name="Tc_UykrTWGq9ES4A7m5fCho6A_6_17"/>
      <w:bookmarkStart w:id="353" w:name="Tc_j7stRmvNNEiuEj92qUksLQ_6_14"/>
      <w:bookmarkStart w:id="354" w:name="Tc_PBwZnF0iKEC0ji7GObTf9g_6_11"/>
      <w:bookmarkStart w:id="355" w:name="Tc_X4S1ROF2ME60Ow9qb_mMrg_6_8"/>
      <w:bookmarkStart w:id="356" w:name="Tc_-EYixmD4LkKH-xaPjOCDNw_6_5"/>
      <w:bookmarkStart w:id="357" w:name="Tc_OLlFbPproUWCU0B2Bmcmgw_6_2"/>
      <w:bookmarkStart w:id="358" w:name="Tc_mEosc99hskGYxxq4XC1VbQ_6_0"/>
      <w:bookmarkStart w:id="359" w:name="Tc_GhGhQJyOfU2R3A2u3zYjrQ_5_17"/>
      <w:bookmarkStart w:id="360" w:name="Tc_R5JdALZeCUCFhIBJuaO-BA_5_14"/>
      <w:bookmarkStart w:id="361" w:name="Tc_cV7hpH1IwUSOwvTPJ7AHYg_5_11"/>
      <w:bookmarkStart w:id="362" w:name="Tc_kvOgc_Xor0qRUVJhikw4MA_5_8"/>
      <w:bookmarkStart w:id="363" w:name="Tc_bALESa-fLUGbaRjGWSpFhA_5_5"/>
      <w:bookmarkStart w:id="364" w:name="Tc_gvw_E8d_5k6JmoMi3J5FvA_5_2"/>
      <w:bookmarkStart w:id="365" w:name="Tc_5lvRKL0gSUirwlCJQnDjOQ_4_17"/>
      <w:bookmarkStart w:id="366" w:name="Tc_K3DNF3_kkk-cN2T37Z9hEQ_4_14"/>
      <w:bookmarkStart w:id="367" w:name="Tc__Emlho6tGEG8K2OkgquGkQ_4_11"/>
      <w:bookmarkStart w:id="368" w:name="Tc_H7E2v8UmdkiggsrQtIzUAg_4_8"/>
      <w:bookmarkStart w:id="369" w:name="Tc_Veg5Hr9D3U2wv_sdQ6BdFQ_4_5"/>
      <w:bookmarkStart w:id="370" w:name="Tc_xqzt7WIGk0-SIKQdHb6NgA_4_2"/>
      <w:bookmarkStart w:id="371" w:name="Tc_gzuFm1SnTkGnHhAscOmFBQ_3_14"/>
      <w:bookmarkStart w:id="372" w:name="Tc_9uFedaoo5E6nrTnYQe2dZg_3_11"/>
      <w:bookmarkStart w:id="373" w:name="Tc_pHH1DAKbnEuEbqadNE_D_Q_3_5"/>
      <w:bookmarkStart w:id="374" w:name="Tc_GQQyo8Elr0ygnCQeVEsH7w_2_11"/>
      <w:bookmarkStart w:id="375" w:name="Tc_AUDP_GBPaUuywgKGP9_afQ_1_2"/>
      <w:bookmarkStart w:id="376" w:name="_817df520_e4e3_4a9f_bf96_f3ecee3cf578"/>
      <w:bookmarkStart w:id="377" w:name="Tc_ubb3fKlEcUKcHKNrMto8jg_20_17"/>
      <w:bookmarkStart w:id="378" w:name="Tc_Zn3SY0pYfE2s-4yvzaMZ0w_20_14"/>
      <w:bookmarkStart w:id="379" w:name="Tc_RbsfSaKkeUi6kRe1hL-xiw_20_11"/>
      <w:bookmarkStart w:id="380" w:name="Tc_yHLtpCMoYEKvPcXYOFWAzw_20_8"/>
      <w:bookmarkStart w:id="381" w:name="Tc_7z8YIMzzUke-pVvJDzgJsg_20_5"/>
      <w:bookmarkStart w:id="382" w:name="Tc_6iIiL0UagkOUcmRjhvcTmQ_20_2"/>
      <w:bookmarkStart w:id="383" w:name="Tc_lMB6jyzUG0uZcrwE2dl69A_20_0"/>
      <w:bookmarkStart w:id="384" w:name="Tc_5qJK2pRjzkqctKJ3MXK2Ew_18_12"/>
      <w:bookmarkStart w:id="385" w:name="Tc_rGpa5G_ca0iBwr1AmeK-mw_18_9"/>
      <w:bookmarkStart w:id="386" w:name="Tc_Eb2Hg2niLEu8bcWqrCiSfQ_18_6"/>
      <w:bookmarkStart w:id="387" w:name="Tc_VJcJg8eLakeesIYzzIIuKQ_18_3"/>
      <w:bookmarkStart w:id="388" w:name="Tc_ogMX_GeS_U6L3q2eMT_q0g_18_0"/>
      <w:bookmarkStart w:id="389" w:name="Tc_muBYIrml80q6s0IWAobHMA_17_15"/>
      <w:bookmarkStart w:id="390" w:name="Tc_CzlezLn0tkuNTOLNqu_BkA_17_12"/>
      <w:bookmarkStart w:id="391" w:name="Tc_yMTb55SfyUSgL2enmCKtEw_17_6"/>
      <w:bookmarkStart w:id="392" w:name="Tc_-kJjtsQbmUeJku5cyn_ojA_17_3"/>
      <w:bookmarkStart w:id="393" w:name="Tc_G9hPCNjwm0S1CnZAvWMYtw_17_0"/>
      <w:bookmarkStart w:id="394" w:name="Tc_aMqHFzQF1E-vKbmSxYKTcA_16_15"/>
      <w:bookmarkStart w:id="395" w:name="Tc_7cjCl3y7gkmtozQgP_t3Cw_16_9"/>
      <w:bookmarkStart w:id="396" w:name="Tc_6rRY0SEOd06ESo-PFhVjYA_16_6"/>
      <w:bookmarkStart w:id="397" w:name="Tc_oFaejfMHzEiaW-zpL8VqZQ_16_3"/>
      <w:bookmarkStart w:id="398" w:name="Tc_hZ7yj2EssUG2Zo1yI0YezA_16_0"/>
      <w:bookmarkStart w:id="399" w:name="Tc_JIl3O9paFUK-504tifOIWg_15_12"/>
      <w:bookmarkStart w:id="400" w:name="Tc_px8OtUTurE-EsQ5JZpDbqg_15_6"/>
      <w:bookmarkStart w:id="401" w:name="Tc_tCjN_X_zm0m6r4881eWxoA_15_3"/>
      <w:bookmarkStart w:id="402" w:name="Tc_6TpanZ8O10KgHLcu-gpI9w_15_0"/>
      <w:bookmarkStart w:id="403" w:name="Tc_kQ8eYCwd8UirDEtLOsm0qA_14_17"/>
      <w:bookmarkStart w:id="404" w:name="Tc_65nfpkcnQ06fBnQzQdFL-A_14_14"/>
      <w:bookmarkStart w:id="405" w:name="Tc_cFqsdPWaQ06f26SgpEbMfg_14_11"/>
      <w:bookmarkStart w:id="406" w:name="Tc_uu-9A7BEMEueWM1uvVi-9w_14_8"/>
      <w:bookmarkStart w:id="407" w:name="Tc_gdd9wN233kivlVXj3IYkBQ_14_5"/>
      <w:bookmarkStart w:id="408" w:name="Tc_2qBTwfo7rk2vMQ6Sw3AcIg_14_2"/>
      <w:bookmarkStart w:id="409" w:name="Tc_sYBCjNOWkEWcLyAGRTA0eA_14_0"/>
      <w:bookmarkStart w:id="410" w:name="Tc_vcUMeqSACk--n7ZY4j8w9Q_12_17"/>
      <w:bookmarkStart w:id="411" w:name="Tc_fUBsgmgv3kyG8HwHIiDOoQ_12_14"/>
      <w:bookmarkStart w:id="412" w:name="Tc_mt8EUO-MCUK_HKSoMvB2Zw_12_11"/>
      <w:bookmarkStart w:id="413" w:name="Tc_zZE1SNjrWkCp7wyV28_5Pw_12_8"/>
      <w:bookmarkStart w:id="414" w:name="Tc_RFFg77UVUUKjzXXVMvKwAg_12_5"/>
      <w:bookmarkStart w:id="415" w:name="Tc_AzTz7LWQmkOPI1yitW_vYg_12_2"/>
      <w:bookmarkStart w:id="416" w:name="Tc_1AThbhoZSU2JHkoGIGH1bQ_12_0"/>
      <w:bookmarkStart w:id="417" w:name="Tc_5PejZIbcp0eFbSSscBVK2g_10_12"/>
      <w:bookmarkStart w:id="418" w:name="Tc_Je-N5QMoBkm4IqNYONs1TA_10_9"/>
      <w:bookmarkStart w:id="419" w:name="Tc_P4DuXkvDD0Oioc34tpjyEA_10_6"/>
      <w:bookmarkStart w:id="420" w:name="Tc__F7_XESCdEOr3MQlMImG4w_10_3"/>
      <w:bookmarkStart w:id="421" w:name="Tc_qJgv_tWUu0S0SBZl_dekyw_10_0"/>
      <w:bookmarkStart w:id="422" w:name="Tc_EiVqcIlpfk6gPRLQqdWJFw_9_15"/>
      <w:bookmarkStart w:id="423" w:name="Tc_2LEi2CyXd0WqZrzu44I28A_9_12"/>
      <w:bookmarkStart w:id="424" w:name="Tc_nXQChQN_dESxs3gdKdeFsQ_9_6"/>
      <w:bookmarkStart w:id="425" w:name="Tc_TG4QKcpNREif7ajICltW_A_9_3"/>
      <w:bookmarkStart w:id="426" w:name="Tc_-e6uYAIHj0ac_AX-clxjCg_9_0"/>
      <w:bookmarkStart w:id="427" w:name="Tc_8uhPu02NjkyecqPaTFXKCg_8_15"/>
      <w:bookmarkStart w:id="428" w:name="Tc_oh-pYZjqZUaP1L7MkbsSKQ_8_9"/>
      <w:bookmarkStart w:id="429" w:name="Tc_FlA3BsOPx06qq4FqNkgu1A_8_6"/>
      <w:bookmarkStart w:id="430" w:name="Tc_3oEKm2j4VUOpWHXGAsrSQw_8_3"/>
      <w:bookmarkStart w:id="431" w:name="Tc_F-fsQlOIMUShBwsIbYFoWQ_8_0"/>
      <w:bookmarkStart w:id="432" w:name="Tc_X6T4OyltVEmhcyui_jgyjA_7_12"/>
      <w:bookmarkStart w:id="433" w:name="Tc_Q9DB5hCDIkGtgaWB1qY-Aw_7_6"/>
      <w:bookmarkStart w:id="434" w:name="Tc_HeS1HfOJkUyvMPmC6uNVtg_7_3"/>
      <w:bookmarkStart w:id="435" w:name="Tc_VIdlScsYrkOW1YLyH6Rc9g_7_0"/>
      <w:bookmarkStart w:id="436" w:name="Tc_UykrTWGq9ES4A7m5fCho6A_6_17"/>
      <w:bookmarkStart w:id="437" w:name="Tc_j7stRmvNNEiuEj92qUksLQ_6_14"/>
      <w:bookmarkStart w:id="438" w:name="Tc_PBwZnF0iKEC0ji7GObTf9g_6_11"/>
      <w:bookmarkStart w:id="439" w:name="Tc_X4S1ROF2ME60Ow9qb_mMrg_6_8"/>
      <w:bookmarkStart w:id="440" w:name="Tc_-EYixmD4LkKH-xaPjOCDNw_6_5"/>
      <w:bookmarkStart w:id="441" w:name="Tc_OLlFbPproUWCU0B2Bmcmgw_6_2"/>
      <w:bookmarkStart w:id="442" w:name="Tc_mEosc99hskGYxxq4XC1VbQ_6_0"/>
      <w:bookmarkStart w:id="443" w:name="Tc_GhGhQJyOfU2R3A2u3zYjrQ_5_17"/>
      <w:bookmarkStart w:id="444" w:name="Tc_R5JdALZeCUCFhIBJuaO-BA_5_14"/>
      <w:bookmarkStart w:id="445" w:name="Tc_cV7hpH1IwUSOwvTPJ7AHYg_5_11"/>
      <w:bookmarkStart w:id="446" w:name="Tc_kvOgc_Xor0qRUVJhikw4MA_5_8"/>
      <w:bookmarkStart w:id="447" w:name="Tc_bALESa-fLUGbaRjGWSpFhA_5_5"/>
      <w:bookmarkStart w:id="448" w:name="Tc_gvw_E8d_5k6JmoMi3J5FvA_5_2"/>
      <w:bookmarkStart w:id="449" w:name="Tc_5lvRKL0gSUirwlCJQnDjOQ_4_17"/>
      <w:bookmarkStart w:id="450" w:name="Tc_K3DNF3_kkk-cN2T37Z9hEQ_4_14"/>
      <w:bookmarkStart w:id="451" w:name="Tc__Emlho6tGEG8K2OkgquGkQ_4_11"/>
      <w:bookmarkStart w:id="452" w:name="Tc_H7E2v8UmdkiggsrQtIzUAg_4_8"/>
      <w:bookmarkStart w:id="453" w:name="Tc_Veg5Hr9D3U2wv_sdQ6BdFQ_4_5"/>
      <w:bookmarkStart w:id="454" w:name="Tc_xqzt7WIGk0-SIKQdHb6NgA_4_2"/>
      <w:bookmarkStart w:id="455" w:name="Tc_gzuFm1SnTkGnHhAscOmFBQ_3_14"/>
      <w:bookmarkStart w:id="456" w:name="Tc_9uFedaoo5E6nrTnYQe2dZg_3_11"/>
      <w:bookmarkStart w:id="457" w:name="Tc_pHH1DAKbnEuEbqadNE_D_Q_3_5"/>
      <w:bookmarkStart w:id="458" w:name="Tc_GQQyo8Elr0ygnCQeVEsH7w_2_11"/>
      <w:bookmarkStart w:id="459" w:name="Tc_AUDP_GBPaUuywgKGP9_afQ_1_2"/>
      <w:bookmarkStart w:id="460" w:name="_817df520_e4e3_4a9f_bf96_f3ecee3cf578"/>
      <w:bookmarkEnd w:id="377"/>
      <w:bookmarkEnd w:id="378"/>
      <w:bookmarkEnd w:id="379"/>
      <w:bookmarkEnd w:id="380"/>
      <w:bookmarkEnd w:id="381"/>
      <w:bookmarkEnd w:id="382"/>
      <w:bookmarkEnd w:id="383"/>
      <w:bookmarkEnd w:id="384"/>
      <w:bookmarkEnd w:id="385"/>
      <w:bookmarkEnd w:id="386"/>
      <w:bookmarkEnd w:id="387"/>
      <w:bookmarkEnd w:id="388"/>
      <w:bookmarkEnd w:id="389"/>
      <w:bookmarkEnd w:id="390"/>
      <w:bookmarkEnd w:id="391"/>
      <w:bookmarkEnd w:id="392"/>
      <w:bookmarkEnd w:id="393"/>
      <w:bookmarkEnd w:id="394"/>
      <w:bookmarkEnd w:id="395"/>
      <w:bookmarkEnd w:id="396"/>
      <w:bookmarkEnd w:id="397"/>
      <w:bookmarkEnd w:id="398"/>
      <w:bookmarkEnd w:id="399"/>
      <w:bookmarkEnd w:id="400"/>
      <w:bookmarkEnd w:id="401"/>
      <w:bookmarkEnd w:id="402"/>
      <w:bookmarkEnd w:id="403"/>
      <w:bookmarkEnd w:id="404"/>
      <w:bookmarkEnd w:id="405"/>
      <w:bookmarkEnd w:id="406"/>
      <w:bookmarkEnd w:id="407"/>
      <w:bookmarkEnd w:id="408"/>
      <w:bookmarkEnd w:id="409"/>
      <w:bookmarkEnd w:id="410"/>
      <w:bookmarkEnd w:id="411"/>
      <w:bookmarkEnd w:id="412"/>
      <w:bookmarkEnd w:id="413"/>
      <w:bookmarkEnd w:id="414"/>
      <w:bookmarkEnd w:id="415"/>
      <w:bookmarkEnd w:id="416"/>
      <w:bookmarkEnd w:id="417"/>
      <w:bookmarkEnd w:id="418"/>
      <w:bookmarkEnd w:id="419"/>
      <w:bookmarkEnd w:id="420"/>
      <w:bookmarkEnd w:id="421"/>
      <w:bookmarkEnd w:id="422"/>
      <w:bookmarkEnd w:id="423"/>
      <w:bookmarkEnd w:id="424"/>
      <w:bookmarkEnd w:id="425"/>
      <w:bookmarkEnd w:id="426"/>
      <w:bookmarkEnd w:id="427"/>
      <w:bookmarkEnd w:id="428"/>
      <w:bookmarkEnd w:id="429"/>
      <w:bookmarkEnd w:id="430"/>
      <w:bookmarkEnd w:id="431"/>
      <w:bookmarkEnd w:id="432"/>
      <w:bookmarkEnd w:id="433"/>
      <w:bookmarkEnd w:id="434"/>
      <w:bookmarkEnd w:id="435"/>
      <w:bookmarkEnd w:id="436"/>
      <w:bookmarkEnd w:id="437"/>
      <w:bookmarkEnd w:id="438"/>
      <w:bookmarkEnd w:id="439"/>
      <w:bookmarkEnd w:id="440"/>
      <w:bookmarkEnd w:id="441"/>
      <w:bookmarkEnd w:id="442"/>
      <w:bookmarkEnd w:id="443"/>
      <w:bookmarkEnd w:id="444"/>
      <w:bookmarkEnd w:id="445"/>
      <w:bookmarkEnd w:id="446"/>
      <w:bookmarkEnd w:id="447"/>
      <w:bookmarkEnd w:id="448"/>
      <w:bookmarkEnd w:id="449"/>
      <w:bookmarkEnd w:id="450"/>
      <w:bookmarkEnd w:id="451"/>
      <w:bookmarkEnd w:id="452"/>
      <w:bookmarkEnd w:id="453"/>
      <w:bookmarkEnd w:id="454"/>
      <w:bookmarkEnd w:id="455"/>
      <w:bookmarkEnd w:id="456"/>
      <w:bookmarkEnd w:id="457"/>
      <w:bookmarkEnd w:id="458"/>
      <w:bookmarkEnd w:id="459"/>
      <w:bookmarkEnd w:id="460"/>
    </w:p>
    <w:tbl>
      <w:tblPr>
        <w:tblW w:w="10245" w:type="dxa"/>
        <w:jc w:val="left"/>
        <w:tblInd w:w="0" w:type="dxa"/>
        <w:tblLayout w:type="fixed"/>
        <w:tblCellMar>
          <w:top w:w="0" w:type="dxa"/>
          <w:left w:w="0" w:type="dxa"/>
          <w:bottom w:w="0" w:type="dxa"/>
          <w:right w:w="0" w:type="dxa"/>
        </w:tblCellMar>
      </w:tblPr>
      <w:tblGrid>
        <w:gridCol w:w="1411"/>
        <w:gridCol w:w="346"/>
        <w:gridCol w:w="239"/>
        <w:gridCol w:w="647"/>
        <w:gridCol w:w="346"/>
        <w:gridCol w:w="213"/>
        <w:gridCol w:w="793"/>
        <w:gridCol w:w="346"/>
        <w:gridCol w:w="211"/>
        <w:gridCol w:w="781"/>
        <w:gridCol w:w="346"/>
        <w:gridCol w:w="275"/>
        <w:gridCol w:w="1106"/>
        <w:gridCol w:w="346"/>
        <w:gridCol w:w="332"/>
        <w:gridCol w:w="1064"/>
        <w:gridCol w:w="346"/>
        <w:gridCol w:w="211"/>
        <w:gridCol w:w="886"/>
      </w:tblGrid>
      <w:tr>
        <w:trPr/>
        <w:tc>
          <w:tcPr>
            <w:tcW w:w="14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895985" cy="175260"/>
                      <wp:effectExtent l="0" t="0" r="0" b="0"/>
                      <wp:wrapNone/>
                      <wp:docPr id="32" name="Frame32"/>
                      <a:graphic xmlns:a="http://schemas.openxmlformats.org/drawingml/2006/main">
                        <a:graphicData uri="http://schemas.microsoft.com/office/word/2010/wordprocessingShape">
                          <wps:wsp>
                            <wps:cNvSpPr txBox="1"/>
                            <wps:spPr>
                              <a:xfrm>
                                <a:off x="0" y="0"/>
                                <a:ext cx="895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219710" cy="175260"/>
                      <wp:effectExtent l="0" t="0" r="0" b="0"/>
                      <wp:wrapNone/>
                      <wp:docPr id="33" name="Frame33"/>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3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151765" cy="175260"/>
                      <wp:effectExtent l="0" t="0" r="0" b="0"/>
                      <wp:wrapNone/>
                      <wp:docPr id="34" name="Frame34"/>
                      <a:graphic xmlns:a="http://schemas.openxmlformats.org/drawingml/2006/main">
                        <a:graphicData uri="http://schemas.microsoft.com/office/word/2010/wordprocessingShape">
                          <wps:wsp>
                            <wps:cNvSpPr txBox="1"/>
                            <wps:spPr>
                              <a:xfrm>
                                <a:off x="0" y="0"/>
                                <a:ext cx="15176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4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410845" cy="175260"/>
                      <wp:effectExtent l="0" t="0" r="0" b="0"/>
                      <wp:wrapNone/>
                      <wp:docPr id="35" name="Frame35"/>
                      <a:graphic xmlns:a="http://schemas.openxmlformats.org/drawingml/2006/main">
                        <a:graphicData uri="http://schemas.microsoft.com/office/word/2010/wordprocessingShape">
                          <wps:wsp>
                            <wps:cNvSpPr txBox="1"/>
                            <wps:spPr>
                              <a:xfrm>
                                <a:off x="0" y="0"/>
                                <a:ext cx="41084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2.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219710" cy="175260"/>
                      <wp:effectExtent l="0" t="0" r="0" b="0"/>
                      <wp:wrapNone/>
                      <wp:docPr id="36" name="Frame36"/>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135255" cy="175260"/>
                      <wp:effectExtent l="0" t="0" r="0" b="0"/>
                      <wp:wrapNone/>
                      <wp:docPr id="37" name="Frame37"/>
                      <a:graphic xmlns:a="http://schemas.openxmlformats.org/drawingml/2006/main">
                        <a:graphicData uri="http://schemas.microsoft.com/office/word/2010/wordprocessingShape">
                          <wps:wsp>
                            <wps:cNvSpPr txBox="1"/>
                            <wps:spPr>
                              <a:xfrm>
                                <a:off x="0" y="0"/>
                                <a:ext cx="13525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9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503555" cy="175260"/>
                      <wp:effectExtent l="0" t="0" r="0" b="0"/>
                      <wp:wrapNone/>
                      <wp:docPr id="38" name="Frame38"/>
                      <a:graphic xmlns:a="http://schemas.openxmlformats.org/drawingml/2006/main">
                        <a:graphicData uri="http://schemas.microsoft.com/office/word/2010/wordprocessingShape">
                          <wps:wsp>
                            <wps:cNvSpPr txBox="1"/>
                            <wps:spPr>
                              <a:xfrm>
                                <a:off x="0" y="0"/>
                                <a:ext cx="50355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219710" cy="175260"/>
                      <wp:effectExtent l="0" t="0" r="0" b="0"/>
                      <wp:wrapNone/>
                      <wp:docPr id="39" name="Frame39"/>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133985" cy="175260"/>
                      <wp:effectExtent l="0" t="0" r="0" b="0"/>
                      <wp:wrapNone/>
                      <wp:docPr id="40" name="Frame40"/>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495935" cy="175260"/>
                      <wp:effectExtent l="0" t="0" r="0" b="0"/>
                      <wp:wrapNone/>
                      <wp:docPr id="41" name="Frame41"/>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219710" cy="175260"/>
                      <wp:effectExtent l="0" t="0" r="0" b="0"/>
                      <wp:wrapNone/>
                      <wp:docPr id="42" name="Frame42"/>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7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174625" cy="175260"/>
                      <wp:effectExtent l="0" t="0" r="0" b="0"/>
                      <wp:wrapNone/>
                      <wp:docPr id="43" name="Frame43"/>
                      <a:graphic xmlns:a="http://schemas.openxmlformats.org/drawingml/2006/main">
                        <a:graphicData uri="http://schemas.microsoft.com/office/word/2010/wordprocessingShape">
                          <wps:wsp>
                            <wps:cNvSpPr txBox="1"/>
                            <wps:spPr>
                              <a:xfrm>
                                <a:off x="0" y="0"/>
                                <a:ext cx="17462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1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702310" cy="175260"/>
                      <wp:effectExtent l="0" t="0" r="0" b="0"/>
                      <wp:wrapNone/>
                      <wp:docPr id="44" name="Frame44"/>
                      <a:graphic xmlns:a="http://schemas.openxmlformats.org/drawingml/2006/main">
                        <a:graphicData uri="http://schemas.microsoft.com/office/word/2010/wordprocessingShape">
                          <wps:wsp>
                            <wps:cNvSpPr txBox="1"/>
                            <wps:spPr>
                              <a:xfrm>
                                <a:off x="0" y="0"/>
                                <a:ext cx="7023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5.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219710" cy="175260"/>
                      <wp:effectExtent l="0" t="0" r="0" b="0"/>
                      <wp:wrapNone/>
                      <wp:docPr id="45" name="Frame45"/>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3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210820" cy="175260"/>
                      <wp:effectExtent l="0" t="0" r="0" b="0"/>
                      <wp:wrapNone/>
                      <wp:docPr id="46" name="Frame46"/>
                      <a:graphic xmlns:a="http://schemas.openxmlformats.org/drawingml/2006/main">
                        <a:graphicData uri="http://schemas.microsoft.com/office/word/2010/wordprocessingShape">
                          <wps:wsp>
                            <wps:cNvSpPr txBox="1"/>
                            <wps:spPr>
                              <a:xfrm>
                                <a:off x="0" y="0"/>
                                <a:ext cx="21082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6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675640" cy="175260"/>
                      <wp:effectExtent l="0" t="0" r="0" b="0"/>
                      <wp:wrapNone/>
                      <wp:docPr id="47" name="Frame47"/>
                      <a:graphic xmlns:a="http://schemas.openxmlformats.org/drawingml/2006/main">
                        <a:graphicData uri="http://schemas.microsoft.com/office/word/2010/wordprocessingShape">
                          <wps:wsp>
                            <wps:cNvSpPr txBox="1"/>
                            <wps:spPr>
                              <a:xfrm>
                                <a:off x="0" y="0"/>
                                <a:ext cx="67564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3.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219710" cy="175260"/>
                      <wp:effectExtent l="0" t="0" r="0" b="0"/>
                      <wp:wrapNone/>
                      <wp:docPr id="48" name="Frame48"/>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133985" cy="175260"/>
                      <wp:effectExtent l="0" t="0" r="0" b="0"/>
                      <wp:wrapNone/>
                      <wp:docPr id="49" name="Frame49"/>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562610" cy="175260"/>
                      <wp:effectExtent l="0" t="0" r="0" b="0"/>
                      <wp:wrapNone/>
                      <wp:docPr id="50" name="Frame50"/>
                      <a:graphic xmlns:a="http://schemas.openxmlformats.org/drawingml/2006/main">
                        <a:graphicData uri="http://schemas.microsoft.com/office/word/2010/wordprocessingShape">
                          <wps:wsp>
                            <wps:cNvSpPr txBox="1"/>
                            <wps:spPr>
                              <a:xfrm>
                                <a:off x="0" y="0"/>
                                <a:ext cx="5626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141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8488" w:type="dxa"/>
            <w:gridSpan w:val="17"/>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Three months ended March 31, 2025 and 2026 (unaudited)</w:t>
            </w:r>
          </w:p>
        </w:tc>
      </w:tr>
      <w:tr>
        <w:trPr/>
        <w:tc>
          <w:tcPr>
            <w:tcW w:w="141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239" w:type="dxa"/>
            <w:tcBorders/>
            <w:vAlign w:val="center"/>
          </w:tcPr>
          <w:p>
            <w:pPr>
              <w:pStyle w:val="TableContents"/>
              <w:bidi w:val="0"/>
              <w:spacing w:before="0" w:after="1"/>
              <w:ind w:left="0" w:right="0" w:hanging="0"/>
              <w:jc w:val="left"/>
              <w:rPr/>
            </w:pPr>
            <w:r>
              <w:rPr/>
              <w:t>​</w:t>
            </w:r>
          </w:p>
        </w:tc>
        <w:tc>
          <w:tcPr>
            <w:tcW w:w="647"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left"/>
              <w:rPr/>
            </w:pPr>
            <w:r>
              <w:rPr/>
              <w:t>​</w:t>
            </w:r>
          </w:p>
        </w:tc>
        <w:tc>
          <w:tcPr>
            <w:tcW w:w="213" w:type="dxa"/>
            <w:tcBorders/>
            <w:vAlign w:val="center"/>
          </w:tcPr>
          <w:p>
            <w:pPr>
              <w:pStyle w:val="TableContents"/>
              <w:bidi w:val="0"/>
              <w:spacing w:before="0" w:after="1"/>
              <w:ind w:left="0" w:right="0" w:hanging="0"/>
              <w:jc w:val="left"/>
              <w:rPr/>
            </w:pPr>
            <w:r>
              <w:rPr/>
              <w:t>​</w:t>
            </w:r>
          </w:p>
        </w:tc>
        <w:tc>
          <w:tcPr>
            <w:tcW w:w="793"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781"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left"/>
              <w:rPr/>
            </w:pPr>
            <w:r>
              <w:rPr/>
              <w:t>​</w:t>
            </w:r>
          </w:p>
        </w:tc>
        <w:tc>
          <w:tcPr>
            <w:tcW w:w="1381" w:type="dxa"/>
            <w:gridSpan w:val="2"/>
            <w:tcBorders/>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Accumulated</w:t>
            </w:r>
          </w:p>
        </w:tc>
        <w:tc>
          <w:tcPr>
            <w:tcW w:w="346" w:type="dxa"/>
            <w:tcBorders/>
            <w:vAlign w:val="center"/>
          </w:tcPr>
          <w:p>
            <w:pPr>
              <w:pStyle w:val="TableContents"/>
              <w:bidi w:val="0"/>
              <w:spacing w:before="0" w:after="1"/>
              <w:ind w:left="0" w:right="0" w:hanging="0"/>
              <w:jc w:val="left"/>
              <w:rPr/>
            </w:pPr>
            <w:r>
              <w:rPr/>
              <w:t>​</w:t>
            </w:r>
          </w:p>
        </w:tc>
        <w:tc>
          <w:tcPr>
            <w:tcW w:w="332" w:type="dxa"/>
            <w:tcBorders/>
            <w:vAlign w:val="center"/>
          </w:tcPr>
          <w:p>
            <w:pPr>
              <w:pStyle w:val="TableContents"/>
              <w:bidi w:val="0"/>
              <w:spacing w:before="0" w:after="1"/>
              <w:ind w:left="0" w:right="0" w:hanging="0"/>
              <w:jc w:val="left"/>
              <w:rPr/>
            </w:pPr>
            <w:r>
              <w:rPr/>
              <w:t>​</w:t>
            </w:r>
          </w:p>
        </w:tc>
        <w:tc>
          <w:tcPr>
            <w:tcW w:w="1064"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886" w:type="dxa"/>
            <w:tcBorders/>
            <w:vAlign w:val="center"/>
          </w:tcPr>
          <w:p>
            <w:pPr>
              <w:pStyle w:val="TableContents"/>
              <w:bidi w:val="0"/>
              <w:spacing w:before="0" w:after="1"/>
              <w:ind w:left="0" w:right="0" w:hanging="0"/>
              <w:jc w:val="center"/>
              <w:rPr/>
            </w:pPr>
            <w:r>
              <w:rPr/>
              <w:t>​</w:t>
            </w:r>
          </w:p>
        </w:tc>
      </w:tr>
      <w:tr>
        <w:trPr/>
        <w:tc>
          <w:tcPr>
            <w:tcW w:w="141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239" w:type="dxa"/>
            <w:tcBorders/>
            <w:vAlign w:val="center"/>
          </w:tcPr>
          <w:p>
            <w:pPr>
              <w:pStyle w:val="TableContents"/>
              <w:bidi w:val="0"/>
              <w:spacing w:before="0" w:after="1"/>
              <w:ind w:left="0" w:right="0" w:hanging="0"/>
              <w:jc w:val="left"/>
              <w:rPr/>
            </w:pPr>
            <w:r>
              <w:rPr/>
              <w:t>​</w:t>
            </w:r>
          </w:p>
        </w:tc>
        <w:tc>
          <w:tcPr>
            <w:tcW w:w="647"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left"/>
              <w:rPr/>
            </w:pPr>
            <w:r>
              <w:rPr/>
              <w:t>​</w:t>
            </w:r>
          </w:p>
        </w:tc>
        <w:tc>
          <w:tcPr>
            <w:tcW w:w="1006" w:type="dxa"/>
            <w:gridSpan w:val="2"/>
            <w:tcBorders/>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Additional</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781"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left"/>
              <w:rPr/>
            </w:pPr>
            <w:r>
              <w:rPr/>
              <w:t>​</w:t>
            </w:r>
          </w:p>
        </w:tc>
        <w:tc>
          <w:tcPr>
            <w:tcW w:w="1381" w:type="dxa"/>
            <w:gridSpan w:val="2"/>
            <w:tcBorders/>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other</w:t>
            </w:r>
          </w:p>
        </w:tc>
        <w:tc>
          <w:tcPr>
            <w:tcW w:w="346" w:type="dxa"/>
            <w:tcBorders/>
            <w:vAlign w:val="center"/>
          </w:tcPr>
          <w:p>
            <w:pPr>
              <w:pStyle w:val="TableContents"/>
              <w:bidi w:val="0"/>
              <w:spacing w:before="0" w:after="1"/>
              <w:ind w:left="0" w:right="0" w:hanging="0"/>
              <w:jc w:val="left"/>
              <w:rPr/>
            </w:pPr>
            <w:r>
              <w:rPr/>
              <w:t>​</w:t>
            </w:r>
          </w:p>
        </w:tc>
        <w:tc>
          <w:tcPr>
            <w:tcW w:w="1396" w:type="dxa"/>
            <w:gridSpan w:val="2"/>
            <w:tcBorders/>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Noncontrolling</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886" w:type="dxa"/>
            <w:tcBorders/>
            <w:vAlign w:val="center"/>
          </w:tcPr>
          <w:p>
            <w:pPr>
              <w:pStyle w:val="TableContents"/>
              <w:bidi w:val="0"/>
              <w:spacing w:before="0" w:after="1"/>
              <w:ind w:left="0" w:right="0" w:hanging="0"/>
              <w:jc w:val="center"/>
              <w:rPr/>
            </w:pPr>
            <w:r>
              <w:rPr/>
              <w:t>​</w:t>
            </w:r>
          </w:p>
        </w:tc>
      </w:tr>
      <w:tr>
        <w:trPr/>
        <w:tc>
          <w:tcPr>
            <w:tcW w:w="141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886" w:type="dxa"/>
            <w:gridSpan w:val="2"/>
            <w:tcBorders/>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Common</w:t>
            </w:r>
          </w:p>
        </w:tc>
        <w:tc>
          <w:tcPr>
            <w:tcW w:w="346" w:type="dxa"/>
            <w:tcBorders/>
            <w:vAlign w:val="center"/>
          </w:tcPr>
          <w:p>
            <w:pPr>
              <w:pStyle w:val="TableContents"/>
              <w:bidi w:val="0"/>
              <w:spacing w:before="0" w:after="1"/>
              <w:ind w:left="0" w:right="0" w:hanging="0"/>
              <w:jc w:val="left"/>
              <w:rPr/>
            </w:pPr>
            <w:r>
              <w:rPr/>
              <w:t>​</w:t>
            </w:r>
          </w:p>
        </w:tc>
        <w:tc>
          <w:tcPr>
            <w:tcW w:w="1006" w:type="dxa"/>
            <w:gridSpan w:val="2"/>
            <w:tcBorders/>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paid-in</w:t>
            </w:r>
          </w:p>
        </w:tc>
        <w:tc>
          <w:tcPr>
            <w:tcW w:w="346" w:type="dxa"/>
            <w:tcBorders/>
            <w:vAlign w:val="center"/>
          </w:tcPr>
          <w:p>
            <w:pPr>
              <w:pStyle w:val="TableContents"/>
              <w:bidi w:val="0"/>
              <w:spacing w:before="0" w:after="1"/>
              <w:ind w:left="0" w:right="0" w:hanging="0"/>
              <w:jc w:val="left"/>
              <w:rPr/>
            </w:pPr>
            <w:r>
              <w:rPr/>
              <w:t>​</w:t>
            </w:r>
          </w:p>
        </w:tc>
        <w:tc>
          <w:tcPr>
            <w:tcW w:w="992" w:type="dxa"/>
            <w:gridSpan w:val="2"/>
            <w:tcBorders/>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Retained</w:t>
            </w:r>
          </w:p>
        </w:tc>
        <w:tc>
          <w:tcPr>
            <w:tcW w:w="346" w:type="dxa"/>
            <w:tcBorders/>
            <w:vAlign w:val="center"/>
          </w:tcPr>
          <w:p>
            <w:pPr>
              <w:pStyle w:val="TableContents"/>
              <w:bidi w:val="0"/>
              <w:spacing w:before="0" w:after="1"/>
              <w:ind w:left="0" w:right="0" w:hanging="0"/>
              <w:jc w:val="left"/>
              <w:rPr/>
            </w:pPr>
            <w:r>
              <w:rPr/>
              <w:t>​</w:t>
            </w:r>
          </w:p>
        </w:tc>
        <w:tc>
          <w:tcPr>
            <w:tcW w:w="1381" w:type="dxa"/>
            <w:gridSpan w:val="2"/>
            <w:tcBorders/>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comprehensive</w:t>
            </w:r>
          </w:p>
        </w:tc>
        <w:tc>
          <w:tcPr>
            <w:tcW w:w="346" w:type="dxa"/>
            <w:tcBorders/>
            <w:vAlign w:val="center"/>
          </w:tcPr>
          <w:p>
            <w:pPr>
              <w:pStyle w:val="TableContents"/>
              <w:bidi w:val="0"/>
              <w:spacing w:before="0" w:after="1"/>
              <w:ind w:left="0" w:right="0" w:hanging="0"/>
              <w:jc w:val="left"/>
              <w:rPr/>
            </w:pPr>
            <w:r>
              <w:rPr/>
              <w:t>​</w:t>
            </w:r>
          </w:p>
        </w:tc>
        <w:tc>
          <w:tcPr>
            <w:tcW w:w="1396" w:type="dxa"/>
            <w:gridSpan w:val="2"/>
            <w:tcBorders/>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interest in</w:t>
            </w:r>
          </w:p>
        </w:tc>
        <w:tc>
          <w:tcPr>
            <w:tcW w:w="346" w:type="dxa"/>
            <w:tcBorders/>
            <w:vAlign w:val="center"/>
          </w:tcPr>
          <w:p>
            <w:pPr>
              <w:pStyle w:val="TableContents"/>
              <w:bidi w:val="0"/>
              <w:spacing w:before="0" w:after="1"/>
              <w:ind w:left="0" w:right="0" w:hanging="0"/>
              <w:jc w:val="left"/>
              <w:rPr/>
            </w:pPr>
            <w:r>
              <w:rPr/>
              <w:t>​</w:t>
            </w:r>
          </w:p>
        </w:tc>
        <w:tc>
          <w:tcPr>
            <w:tcW w:w="1097" w:type="dxa"/>
            <w:gridSpan w:val="2"/>
            <w:tcBorders/>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Total</w:t>
            </w:r>
          </w:p>
        </w:tc>
      </w:tr>
      <w:tr>
        <w:trPr/>
        <w:tc>
          <w:tcPr>
            <w:tcW w:w="141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  ​ ​ ​</w:t>
            </w:r>
          </w:p>
        </w:tc>
        <w:tc>
          <w:tcPr>
            <w:tcW w:w="886"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stock</w:t>
            </w:r>
          </w:p>
        </w:tc>
        <w:tc>
          <w:tcPr>
            <w:tcW w:w="346" w:type="dxa"/>
            <w:tcBorders/>
            <w:vAlign w:val="center"/>
          </w:tcPr>
          <w:p>
            <w:pPr>
              <w:pStyle w:val="TableContents"/>
              <w:bidi w:val="0"/>
              <w:spacing w:before="0" w:after="1"/>
              <w:ind w:left="0" w:right="0" w:hanging="0"/>
              <w:jc w:val="left"/>
              <w:rPr/>
            </w:pPr>
            <w:r>
              <w:rPr/>
              <w:t>  ​ ​ ​</w:t>
            </w:r>
          </w:p>
        </w:tc>
        <w:tc>
          <w:tcPr>
            <w:tcW w:w="1006"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capital</w:t>
            </w:r>
          </w:p>
        </w:tc>
        <w:tc>
          <w:tcPr>
            <w:tcW w:w="346" w:type="dxa"/>
            <w:tcBorders/>
            <w:vAlign w:val="center"/>
          </w:tcPr>
          <w:p>
            <w:pPr>
              <w:pStyle w:val="TableContents"/>
              <w:bidi w:val="0"/>
              <w:spacing w:before="0" w:after="1"/>
              <w:ind w:left="0" w:right="0" w:hanging="0"/>
              <w:jc w:val="left"/>
              <w:rPr/>
            </w:pPr>
            <w:r>
              <w:rPr/>
              <w:t>  ​ ​ ​</w:t>
            </w:r>
          </w:p>
        </w:tc>
        <w:tc>
          <w:tcPr>
            <w:tcW w:w="99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earnings</w:t>
            </w:r>
          </w:p>
        </w:tc>
        <w:tc>
          <w:tcPr>
            <w:tcW w:w="346" w:type="dxa"/>
            <w:tcBorders/>
            <w:vAlign w:val="center"/>
          </w:tcPr>
          <w:p>
            <w:pPr>
              <w:pStyle w:val="TableContents"/>
              <w:bidi w:val="0"/>
              <w:spacing w:before="0" w:after="1"/>
              <w:ind w:left="0" w:right="0" w:hanging="0"/>
              <w:jc w:val="left"/>
              <w:rPr/>
            </w:pPr>
            <w:r>
              <w:rPr/>
              <w:t>  ​ ​ ​</w:t>
            </w:r>
          </w:p>
        </w:tc>
        <w:tc>
          <w:tcPr>
            <w:tcW w:w="1381"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loss</w:t>
            </w:r>
          </w:p>
        </w:tc>
        <w:tc>
          <w:tcPr>
            <w:tcW w:w="346" w:type="dxa"/>
            <w:tcBorders/>
            <w:vAlign w:val="center"/>
          </w:tcPr>
          <w:p>
            <w:pPr>
              <w:pStyle w:val="TableContents"/>
              <w:bidi w:val="0"/>
              <w:spacing w:before="0" w:after="1"/>
              <w:ind w:left="0" w:right="0" w:hanging="0"/>
              <w:jc w:val="left"/>
              <w:rPr/>
            </w:pPr>
            <w:r>
              <w:rPr/>
              <w:t>  ​ ​ ​</w:t>
            </w:r>
          </w:p>
        </w:tc>
        <w:tc>
          <w:tcPr>
            <w:tcW w:w="1396"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subsidiary</w:t>
            </w:r>
          </w:p>
        </w:tc>
        <w:tc>
          <w:tcPr>
            <w:tcW w:w="346" w:type="dxa"/>
            <w:tcBorders/>
            <w:vAlign w:val="center"/>
          </w:tcPr>
          <w:p>
            <w:pPr>
              <w:pStyle w:val="TableContents"/>
              <w:bidi w:val="0"/>
              <w:spacing w:before="0" w:after="1"/>
              <w:ind w:left="0" w:right="0" w:hanging="0"/>
              <w:jc w:val="left"/>
              <w:rPr/>
            </w:pPr>
            <w:r>
              <w:rPr/>
              <w:t>  ​ ​ ​</w:t>
            </w:r>
          </w:p>
        </w:tc>
        <w:tc>
          <w:tcPr>
            <w:tcW w:w="109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equity</w:t>
            </w:r>
          </w:p>
        </w:tc>
      </w:tr>
      <w:tr>
        <w:trPr/>
        <w:tc>
          <w:tcPr>
            <w:tcW w:w="14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Balance at December 31, 2024</w:t>
            </w:r>
          </w:p>
        </w:tc>
        <w:tc>
          <w:tcPr>
            <w:tcW w:w="346" w:type="dxa"/>
            <w:tcBorders/>
            <w:shd w:fill="CCEEFF" w:val="clear"/>
            <w:vAlign w:val="center"/>
          </w:tcPr>
          <w:p>
            <w:pPr>
              <w:pStyle w:val="TableContents"/>
              <w:bidi w:val="0"/>
              <w:spacing w:before="0" w:after="1"/>
              <w:ind w:left="0" w:right="0" w:hanging="0"/>
              <w:jc w:val="left"/>
              <w:rPr/>
            </w:pPr>
            <w:r>
              <w:rPr/>
              <w:t>​</w:t>
            </w:r>
          </w:p>
        </w:tc>
        <w:tc>
          <w:tcPr>
            <w:tcW w:w="239"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47"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6,105</w:t>
            </w:r>
          </w:p>
        </w:tc>
        <w:tc>
          <w:tcPr>
            <w:tcW w:w="346" w:type="dxa"/>
            <w:tcBorders/>
            <w:shd w:fill="CCEEFF" w:val="clear"/>
            <w:vAlign w:val="center"/>
          </w:tcPr>
          <w:p>
            <w:pPr>
              <w:pStyle w:val="TableContents"/>
              <w:bidi w:val="0"/>
              <w:spacing w:before="0" w:after="1"/>
              <w:ind w:left="0" w:right="0" w:hanging="0"/>
              <w:jc w:val="left"/>
              <w:rPr/>
            </w:pPr>
            <w:r>
              <w:rPr/>
              <w:t>​</w:t>
            </w:r>
          </w:p>
        </w:tc>
        <w:tc>
          <w:tcPr>
            <w:tcW w:w="213"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93"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299,099</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315,056</w:t>
            </w:r>
          </w:p>
        </w:tc>
        <w:tc>
          <w:tcPr>
            <w:tcW w:w="346" w:type="dxa"/>
            <w:tcBorders/>
            <w:shd w:fill="CCEEFF" w:val="clear"/>
            <w:vAlign w:val="center"/>
          </w:tcPr>
          <w:p>
            <w:pPr>
              <w:pStyle w:val="TableContents"/>
              <w:bidi w:val="0"/>
              <w:spacing w:before="0" w:after="1"/>
              <w:ind w:left="0" w:right="0" w:hanging="0"/>
              <w:jc w:val="left"/>
              <w:rPr/>
            </w:pPr>
            <w:r>
              <w:rPr/>
              <w:t>​</w:t>
            </w:r>
          </w:p>
        </w:tc>
        <w:tc>
          <w:tcPr>
            <w:tcW w:w="275"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10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(223,356)</w:t>
            </w:r>
          </w:p>
        </w:tc>
        <w:tc>
          <w:tcPr>
            <w:tcW w:w="346" w:type="dxa"/>
            <w:tcBorders/>
            <w:shd w:fill="CCEEFF" w:val="clear"/>
            <w:vAlign w:val="center"/>
          </w:tcPr>
          <w:p>
            <w:pPr>
              <w:pStyle w:val="TableContents"/>
              <w:bidi w:val="0"/>
              <w:spacing w:before="0" w:after="1"/>
              <w:ind w:left="0" w:right="0" w:hanging="0"/>
              <w:jc w:val="left"/>
              <w:rPr/>
            </w:pPr>
            <w:r>
              <w:rPr/>
              <w:t>​</w:t>
            </w:r>
          </w:p>
        </w:tc>
        <w:tc>
          <w:tcPr>
            <w:tcW w:w="332"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064"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18,999</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8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415,903</w:t>
            </w:r>
          </w:p>
        </w:tc>
      </w:tr>
      <w:tr>
        <w:trPr/>
        <w:tc>
          <w:tcPr>
            <w:tcW w:w="141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Net income</w:t>
            </w:r>
          </w:p>
        </w:tc>
        <w:tc>
          <w:tcPr>
            <w:tcW w:w="346" w:type="dxa"/>
            <w:tcBorders/>
            <w:vAlign w:val="center"/>
          </w:tcPr>
          <w:p>
            <w:pPr>
              <w:pStyle w:val="TableContents"/>
              <w:bidi w:val="0"/>
              <w:spacing w:before="0" w:after="1"/>
              <w:ind w:left="0" w:right="0" w:hanging="0"/>
              <w:jc w:val="left"/>
              <w:rPr/>
            </w:pPr>
            <w:r>
              <w:rPr/>
              <w:t>​</w:t>
            </w:r>
          </w:p>
        </w:tc>
        <w:tc>
          <w:tcPr>
            <w:tcW w:w="239" w:type="dxa"/>
            <w:tcBorders/>
            <w:vAlign w:val="center"/>
          </w:tcPr>
          <w:p>
            <w:pPr>
              <w:pStyle w:val="TableContents"/>
              <w:bidi w:val="0"/>
              <w:spacing w:before="0" w:after="1"/>
              <w:ind w:left="0" w:right="0" w:hanging="0"/>
              <w:jc w:val="left"/>
              <w:rPr/>
            </w:pPr>
            <w:r>
              <w:rPr/>
              <w:t> </w:t>
            </w:r>
          </w:p>
        </w:tc>
        <w:tc>
          <w:tcPr>
            <w:tcW w:w="647"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213" w:type="dxa"/>
            <w:tcBorders/>
            <w:vAlign w:val="center"/>
          </w:tcPr>
          <w:p>
            <w:pPr>
              <w:pStyle w:val="TableContents"/>
              <w:bidi w:val="0"/>
              <w:spacing w:before="0" w:after="1"/>
              <w:ind w:left="0" w:right="0" w:hanging="0"/>
              <w:jc w:val="left"/>
              <w:rPr/>
            </w:pPr>
            <w:r>
              <w:rPr/>
              <w:t> </w:t>
            </w:r>
          </w:p>
        </w:tc>
        <w:tc>
          <w:tcPr>
            <w:tcW w:w="793"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78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667</w:t>
            </w:r>
          </w:p>
        </w:tc>
        <w:tc>
          <w:tcPr>
            <w:tcW w:w="346" w:type="dxa"/>
            <w:tcBorders/>
            <w:vAlign w:val="center"/>
          </w:tcPr>
          <w:p>
            <w:pPr>
              <w:pStyle w:val="TableContents"/>
              <w:bidi w:val="0"/>
              <w:spacing w:before="0" w:after="1"/>
              <w:ind w:left="0" w:right="0" w:hanging="0"/>
              <w:jc w:val="left"/>
              <w:rPr/>
            </w:pPr>
            <w:r>
              <w:rPr/>
              <w:t>​</w:t>
            </w:r>
          </w:p>
        </w:tc>
        <w:tc>
          <w:tcPr>
            <w:tcW w:w="275" w:type="dxa"/>
            <w:tcBorders/>
            <w:vAlign w:val="center"/>
          </w:tcPr>
          <w:p>
            <w:pPr>
              <w:pStyle w:val="TableContents"/>
              <w:bidi w:val="0"/>
              <w:spacing w:before="0" w:after="1"/>
              <w:ind w:left="0" w:right="0" w:hanging="0"/>
              <w:jc w:val="left"/>
              <w:rPr/>
            </w:pPr>
            <w:r>
              <w:rPr/>
              <w:t> </w:t>
            </w:r>
          </w:p>
        </w:tc>
        <w:tc>
          <w:tcPr>
            <w:tcW w:w="1106"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332" w:type="dxa"/>
            <w:tcBorders/>
            <w:vAlign w:val="center"/>
          </w:tcPr>
          <w:p>
            <w:pPr>
              <w:pStyle w:val="TableContents"/>
              <w:bidi w:val="0"/>
              <w:spacing w:before="0" w:after="1"/>
              <w:ind w:left="0" w:right="0" w:hanging="0"/>
              <w:jc w:val="left"/>
              <w:rPr/>
            </w:pPr>
            <w:r>
              <w:rPr/>
              <w:t> </w:t>
            </w:r>
          </w:p>
        </w:tc>
        <w:tc>
          <w:tcPr>
            <w:tcW w:w="1064"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655</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88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1,322</w:t>
            </w:r>
          </w:p>
        </w:tc>
      </w:tr>
      <w:tr>
        <w:trPr/>
        <w:tc>
          <w:tcPr>
            <w:tcW w:w="14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Other comprehensive income, net of tax</w:t>
            </w:r>
          </w:p>
        </w:tc>
        <w:tc>
          <w:tcPr>
            <w:tcW w:w="346" w:type="dxa"/>
            <w:tcBorders/>
            <w:shd w:fill="CCEEFF" w:val="clear"/>
            <w:vAlign w:val="center"/>
          </w:tcPr>
          <w:p>
            <w:pPr>
              <w:pStyle w:val="TableContents"/>
              <w:bidi w:val="0"/>
              <w:spacing w:before="0" w:after="1"/>
              <w:ind w:left="0" w:right="0" w:hanging="0"/>
              <w:jc w:val="left"/>
              <w:rPr/>
            </w:pPr>
            <w:r>
              <w:rPr/>
              <w:t>​</w:t>
            </w:r>
          </w:p>
        </w:tc>
        <w:tc>
          <w:tcPr>
            <w:tcW w:w="239" w:type="dxa"/>
            <w:tcBorders/>
            <w:shd w:fill="CCEEFF" w:val="clear"/>
            <w:vAlign w:val="center"/>
          </w:tcPr>
          <w:p>
            <w:pPr>
              <w:pStyle w:val="TableContents"/>
              <w:bidi w:val="0"/>
              <w:spacing w:before="0" w:after="1"/>
              <w:ind w:left="0" w:right="0" w:hanging="0"/>
              <w:jc w:val="left"/>
              <w:rPr/>
            </w:pPr>
            <w:r>
              <w:rPr/>
              <w:t>​</w:t>
            </w:r>
          </w:p>
        </w:tc>
        <w:tc>
          <w:tcPr>
            <w:tcW w:w="647"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13" w:type="dxa"/>
            <w:tcBorders/>
            <w:shd w:fill="CCEEFF" w:val="clear"/>
            <w:vAlign w:val="center"/>
          </w:tcPr>
          <w:p>
            <w:pPr>
              <w:pStyle w:val="TableContents"/>
              <w:bidi w:val="0"/>
              <w:spacing w:before="0" w:after="1"/>
              <w:ind w:left="0" w:right="0" w:hanging="0"/>
              <w:jc w:val="left"/>
              <w:rPr/>
            </w:pPr>
            <w:r>
              <w:rPr/>
              <w:t>​</w:t>
            </w:r>
          </w:p>
        </w:tc>
        <w:tc>
          <w:tcPr>
            <w:tcW w:w="793"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781"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75" w:type="dxa"/>
            <w:tcBorders/>
            <w:shd w:fill="CCEEFF" w:val="clear"/>
            <w:vAlign w:val="center"/>
          </w:tcPr>
          <w:p>
            <w:pPr>
              <w:pStyle w:val="TableContents"/>
              <w:bidi w:val="0"/>
              <w:spacing w:before="0" w:after="1"/>
              <w:ind w:left="0" w:right="0" w:hanging="0"/>
              <w:jc w:val="left"/>
              <w:rPr/>
            </w:pPr>
            <w:r>
              <w:rPr/>
              <w:t>​</w:t>
            </w:r>
          </w:p>
        </w:tc>
        <w:tc>
          <w:tcPr>
            <w:tcW w:w="110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4,469</w:t>
            </w:r>
          </w:p>
        </w:tc>
        <w:tc>
          <w:tcPr>
            <w:tcW w:w="346" w:type="dxa"/>
            <w:tcBorders/>
            <w:shd w:fill="CCEEFF" w:val="clear"/>
            <w:vAlign w:val="center"/>
          </w:tcPr>
          <w:p>
            <w:pPr>
              <w:pStyle w:val="TableContents"/>
              <w:bidi w:val="0"/>
              <w:spacing w:before="0" w:after="1"/>
              <w:ind w:left="0" w:right="0" w:hanging="0"/>
              <w:jc w:val="left"/>
              <w:rPr/>
            </w:pPr>
            <w:r>
              <w:rPr/>
              <w:t>​</w:t>
            </w:r>
          </w:p>
        </w:tc>
        <w:tc>
          <w:tcPr>
            <w:tcW w:w="332" w:type="dxa"/>
            <w:tcBorders/>
            <w:shd w:fill="CCEEFF" w:val="clear"/>
            <w:vAlign w:val="center"/>
          </w:tcPr>
          <w:p>
            <w:pPr>
              <w:pStyle w:val="TableContents"/>
              <w:bidi w:val="0"/>
              <w:spacing w:before="0" w:after="1"/>
              <w:ind w:left="0" w:right="0" w:hanging="0"/>
              <w:jc w:val="left"/>
              <w:rPr/>
            </w:pPr>
            <w:r>
              <w:rPr/>
              <w:t>​</w:t>
            </w:r>
          </w:p>
        </w:tc>
        <w:tc>
          <w:tcPr>
            <w:tcW w:w="1064"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88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4,469</w:t>
            </w:r>
          </w:p>
        </w:tc>
      </w:tr>
      <w:tr>
        <w:trPr/>
        <w:tc>
          <w:tcPr>
            <w:tcW w:w="141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Dividends paid - $.09 per share</w:t>
            </w:r>
          </w:p>
        </w:tc>
        <w:tc>
          <w:tcPr>
            <w:tcW w:w="346" w:type="dxa"/>
            <w:tcBorders/>
            <w:vAlign w:val="center"/>
          </w:tcPr>
          <w:p>
            <w:pPr>
              <w:pStyle w:val="TableContents"/>
              <w:bidi w:val="0"/>
              <w:spacing w:before="0" w:after="1"/>
              <w:ind w:left="0" w:right="0" w:hanging="0"/>
              <w:jc w:val="left"/>
              <w:rPr/>
            </w:pPr>
            <w:r>
              <w:rPr/>
              <w:t>​</w:t>
            </w:r>
          </w:p>
        </w:tc>
        <w:tc>
          <w:tcPr>
            <w:tcW w:w="239" w:type="dxa"/>
            <w:tcBorders/>
            <w:vAlign w:val="center"/>
          </w:tcPr>
          <w:p>
            <w:pPr>
              <w:pStyle w:val="TableContents"/>
              <w:bidi w:val="0"/>
              <w:spacing w:before="0" w:after="1"/>
              <w:ind w:left="0" w:right="0" w:hanging="0"/>
              <w:jc w:val="left"/>
              <w:rPr/>
            </w:pPr>
            <w:r>
              <w:rPr/>
              <w:t> </w:t>
            </w:r>
          </w:p>
        </w:tc>
        <w:tc>
          <w:tcPr>
            <w:tcW w:w="647"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213" w:type="dxa"/>
            <w:tcBorders/>
            <w:vAlign w:val="center"/>
          </w:tcPr>
          <w:p>
            <w:pPr>
              <w:pStyle w:val="TableContents"/>
              <w:bidi w:val="0"/>
              <w:spacing w:before="0" w:after="1"/>
              <w:ind w:left="0" w:right="0" w:hanging="0"/>
              <w:jc w:val="left"/>
              <w:rPr/>
            </w:pPr>
            <w:r>
              <w:rPr/>
              <w:t> </w:t>
            </w:r>
          </w:p>
        </w:tc>
        <w:tc>
          <w:tcPr>
            <w:tcW w:w="793"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78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(4,396)</w:t>
            </w:r>
          </w:p>
        </w:tc>
        <w:tc>
          <w:tcPr>
            <w:tcW w:w="346" w:type="dxa"/>
            <w:tcBorders/>
            <w:vAlign w:val="center"/>
          </w:tcPr>
          <w:p>
            <w:pPr>
              <w:pStyle w:val="TableContents"/>
              <w:bidi w:val="0"/>
              <w:spacing w:before="0" w:after="1"/>
              <w:ind w:left="0" w:right="0" w:hanging="0"/>
              <w:jc w:val="left"/>
              <w:rPr/>
            </w:pPr>
            <w:r>
              <w:rPr/>
              <w:t>​</w:t>
            </w:r>
          </w:p>
        </w:tc>
        <w:tc>
          <w:tcPr>
            <w:tcW w:w="275" w:type="dxa"/>
            <w:tcBorders/>
            <w:vAlign w:val="center"/>
          </w:tcPr>
          <w:p>
            <w:pPr>
              <w:pStyle w:val="TableContents"/>
              <w:bidi w:val="0"/>
              <w:spacing w:before="0" w:after="1"/>
              <w:ind w:left="0" w:right="0" w:hanging="0"/>
              <w:jc w:val="left"/>
              <w:rPr/>
            </w:pPr>
            <w:r>
              <w:rPr/>
              <w:t> </w:t>
            </w:r>
          </w:p>
        </w:tc>
        <w:tc>
          <w:tcPr>
            <w:tcW w:w="1106"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332" w:type="dxa"/>
            <w:tcBorders/>
            <w:vAlign w:val="center"/>
          </w:tcPr>
          <w:p>
            <w:pPr>
              <w:pStyle w:val="TableContents"/>
              <w:bidi w:val="0"/>
              <w:spacing w:before="0" w:after="1"/>
              <w:ind w:left="0" w:right="0" w:hanging="0"/>
              <w:jc w:val="left"/>
              <w:rPr/>
            </w:pPr>
            <w:r>
              <w:rPr/>
              <w:t> </w:t>
            </w:r>
          </w:p>
        </w:tc>
        <w:tc>
          <w:tcPr>
            <w:tcW w:w="1064"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88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(4,396)</w:t>
            </w:r>
          </w:p>
        </w:tc>
      </w:tr>
      <w:tr>
        <w:trPr/>
        <w:tc>
          <w:tcPr>
            <w:tcW w:w="14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Dividends paid to noncontrolling interest</w:t>
            </w:r>
          </w:p>
        </w:tc>
        <w:tc>
          <w:tcPr>
            <w:tcW w:w="346" w:type="dxa"/>
            <w:tcBorders/>
            <w:shd w:fill="CCEEFF" w:val="clear"/>
            <w:vAlign w:val="center"/>
          </w:tcPr>
          <w:p>
            <w:pPr>
              <w:pStyle w:val="TableContents"/>
              <w:bidi w:val="0"/>
              <w:spacing w:before="0" w:after="1"/>
              <w:ind w:left="0" w:right="0" w:hanging="0"/>
              <w:jc w:val="left"/>
              <w:rPr/>
            </w:pPr>
            <w:r>
              <w:rPr/>
              <w:t>​</w:t>
            </w:r>
          </w:p>
        </w:tc>
        <w:tc>
          <w:tcPr>
            <w:tcW w:w="239"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647"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13"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793"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78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75"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110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right"/>
              <w:rPr/>
            </w:pPr>
            <w:r>
              <w:rPr/>
              <w:t>​</w:t>
            </w:r>
          </w:p>
        </w:tc>
        <w:tc>
          <w:tcPr>
            <w:tcW w:w="332"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1064"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(468)</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88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(468)</w:t>
            </w:r>
          </w:p>
        </w:tc>
      </w:tr>
      <w:tr>
        <w:trPr/>
        <w:tc>
          <w:tcPr>
            <w:tcW w:w="141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239" w:type="dxa"/>
            <w:tcBorders/>
            <w:vAlign w:val="center"/>
          </w:tcPr>
          <w:p>
            <w:pPr>
              <w:pStyle w:val="TableContents"/>
              <w:bidi w:val="0"/>
              <w:spacing w:before="0" w:after="1"/>
              <w:ind w:left="0" w:right="0" w:hanging="0"/>
              <w:jc w:val="left"/>
              <w:rPr/>
            </w:pPr>
            <w:r>
              <w:rPr/>
              <w:t>​</w:t>
            </w:r>
          </w:p>
        </w:tc>
        <w:tc>
          <w:tcPr>
            <w:tcW w:w="647"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213" w:type="dxa"/>
            <w:tcBorders/>
            <w:vAlign w:val="center"/>
          </w:tcPr>
          <w:p>
            <w:pPr>
              <w:pStyle w:val="TableContents"/>
              <w:bidi w:val="0"/>
              <w:spacing w:before="0" w:after="1"/>
              <w:ind w:left="0" w:right="0" w:hanging="0"/>
              <w:jc w:val="left"/>
              <w:rPr/>
            </w:pPr>
            <w:r>
              <w:rPr/>
              <w:t>​</w:t>
            </w:r>
          </w:p>
        </w:tc>
        <w:tc>
          <w:tcPr>
            <w:tcW w:w="793"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78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275" w:type="dxa"/>
            <w:tcBorders/>
            <w:vAlign w:val="center"/>
          </w:tcPr>
          <w:p>
            <w:pPr>
              <w:pStyle w:val="TableContents"/>
              <w:bidi w:val="0"/>
              <w:spacing w:before="0" w:after="1"/>
              <w:ind w:left="0" w:right="0" w:hanging="0"/>
              <w:jc w:val="left"/>
              <w:rPr/>
            </w:pPr>
            <w:r>
              <w:rPr/>
              <w:t>​</w:t>
            </w:r>
          </w:p>
        </w:tc>
        <w:tc>
          <w:tcPr>
            <w:tcW w:w="110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332" w:type="dxa"/>
            <w:tcBorders/>
            <w:vAlign w:val="center"/>
          </w:tcPr>
          <w:p>
            <w:pPr>
              <w:pStyle w:val="TableContents"/>
              <w:bidi w:val="0"/>
              <w:spacing w:before="0" w:after="1"/>
              <w:ind w:left="0" w:right="0" w:hanging="0"/>
              <w:jc w:val="left"/>
              <w:rPr/>
            </w:pPr>
            <w:r>
              <w:rPr/>
              <w:t>​</w:t>
            </w:r>
          </w:p>
        </w:tc>
        <w:tc>
          <w:tcPr>
            <w:tcW w:w="1064"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886" w:type="dxa"/>
            <w:tcBorders/>
            <w:vAlign w:val="center"/>
          </w:tcPr>
          <w:p>
            <w:pPr>
              <w:pStyle w:val="TableContents"/>
              <w:bidi w:val="0"/>
              <w:spacing w:before="0" w:after="1"/>
              <w:ind w:left="0" w:right="0" w:hanging="0"/>
              <w:jc w:val="left"/>
              <w:rPr/>
            </w:pPr>
            <w:r>
              <w:rPr/>
              <w:t>​</w:t>
            </w:r>
          </w:p>
        </w:tc>
      </w:tr>
      <w:tr>
        <w:trPr/>
        <w:tc>
          <w:tcPr>
            <w:tcW w:w="14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Balance at March 31, 2025</w:t>
            </w:r>
          </w:p>
        </w:tc>
        <w:tc>
          <w:tcPr>
            <w:tcW w:w="346" w:type="dxa"/>
            <w:tcBorders/>
            <w:shd w:fill="CCEEFF" w:val="clear"/>
            <w:vAlign w:val="center"/>
          </w:tcPr>
          <w:p>
            <w:pPr>
              <w:pStyle w:val="TableContents"/>
              <w:bidi w:val="0"/>
              <w:spacing w:before="0" w:after="1"/>
              <w:ind w:left="0" w:right="0" w:hanging="0"/>
              <w:jc w:val="left"/>
              <w:rPr/>
            </w:pPr>
            <w:r>
              <w:rPr/>
              <w:t>​</w:t>
            </w:r>
          </w:p>
        </w:tc>
        <w:tc>
          <w:tcPr>
            <w:tcW w:w="239"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47"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6,105</w:t>
            </w:r>
          </w:p>
        </w:tc>
        <w:tc>
          <w:tcPr>
            <w:tcW w:w="346" w:type="dxa"/>
            <w:tcBorders/>
            <w:shd w:fill="CCEEFF" w:val="clear"/>
            <w:vAlign w:val="center"/>
          </w:tcPr>
          <w:p>
            <w:pPr>
              <w:pStyle w:val="TableContents"/>
              <w:bidi w:val="0"/>
              <w:spacing w:before="0" w:after="1"/>
              <w:ind w:left="0" w:right="0" w:hanging="0"/>
              <w:jc w:val="left"/>
              <w:rPr/>
            </w:pPr>
            <w:r>
              <w:rPr/>
              <w:t>​</w:t>
            </w:r>
          </w:p>
        </w:tc>
        <w:tc>
          <w:tcPr>
            <w:tcW w:w="213"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93"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299,099</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311,327</w:t>
            </w:r>
          </w:p>
        </w:tc>
        <w:tc>
          <w:tcPr>
            <w:tcW w:w="346" w:type="dxa"/>
            <w:tcBorders/>
            <w:shd w:fill="CCEEFF" w:val="clear"/>
            <w:vAlign w:val="center"/>
          </w:tcPr>
          <w:p>
            <w:pPr>
              <w:pStyle w:val="TableContents"/>
              <w:bidi w:val="0"/>
              <w:spacing w:before="0" w:after="1"/>
              <w:ind w:left="0" w:right="0" w:hanging="0"/>
              <w:jc w:val="left"/>
              <w:rPr/>
            </w:pPr>
            <w:r>
              <w:rPr/>
              <w:t>​</w:t>
            </w:r>
          </w:p>
        </w:tc>
        <w:tc>
          <w:tcPr>
            <w:tcW w:w="275"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10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(218,887)</w:t>
            </w:r>
          </w:p>
        </w:tc>
        <w:tc>
          <w:tcPr>
            <w:tcW w:w="346" w:type="dxa"/>
            <w:tcBorders/>
            <w:shd w:fill="CCEEFF" w:val="clear"/>
            <w:vAlign w:val="center"/>
          </w:tcPr>
          <w:p>
            <w:pPr>
              <w:pStyle w:val="TableContents"/>
              <w:bidi w:val="0"/>
              <w:spacing w:before="0" w:after="1"/>
              <w:ind w:left="0" w:right="0" w:hanging="0"/>
              <w:jc w:val="left"/>
              <w:rPr/>
            </w:pPr>
            <w:r>
              <w:rPr/>
              <w:t>​</w:t>
            </w:r>
          </w:p>
        </w:tc>
        <w:tc>
          <w:tcPr>
            <w:tcW w:w="332"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064"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19,186</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8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416,830</w:t>
            </w:r>
          </w:p>
        </w:tc>
      </w:tr>
      <w:tr>
        <w:trPr/>
        <w:tc>
          <w:tcPr>
            <w:tcW w:w="141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239" w:type="dxa"/>
            <w:tcBorders/>
            <w:vAlign w:val="center"/>
          </w:tcPr>
          <w:p>
            <w:pPr>
              <w:pStyle w:val="TableContents"/>
              <w:bidi w:val="0"/>
              <w:spacing w:before="0" w:after="1"/>
              <w:ind w:left="0" w:right="0" w:hanging="0"/>
              <w:jc w:val="left"/>
              <w:rPr/>
            </w:pPr>
            <w:r>
              <w:rPr/>
              <w:t>​</w:t>
            </w:r>
          </w:p>
        </w:tc>
        <w:tc>
          <w:tcPr>
            <w:tcW w:w="647"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213" w:type="dxa"/>
            <w:tcBorders/>
            <w:vAlign w:val="center"/>
          </w:tcPr>
          <w:p>
            <w:pPr>
              <w:pStyle w:val="TableContents"/>
              <w:bidi w:val="0"/>
              <w:spacing w:before="0" w:after="1"/>
              <w:ind w:left="0" w:right="0" w:hanging="0"/>
              <w:jc w:val="left"/>
              <w:rPr/>
            </w:pPr>
            <w:r>
              <w:rPr/>
              <w:t>​</w:t>
            </w:r>
          </w:p>
        </w:tc>
        <w:tc>
          <w:tcPr>
            <w:tcW w:w="793"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78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275" w:type="dxa"/>
            <w:tcBorders/>
            <w:vAlign w:val="center"/>
          </w:tcPr>
          <w:p>
            <w:pPr>
              <w:pStyle w:val="TableContents"/>
              <w:bidi w:val="0"/>
              <w:spacing w:before="0" w:after="1"/>
              <w:ind w:left="0" w:right="0" w:hanging="0"/>
              <w:jc w:val="left"/>
              <w:rPr/>
            </w:pPr>
            <w:r>
              <w:rPr/>
              <w:t>​</w:t>
            </w:r>
          </w:p>
        </w:tc>
        <w:tc>
          <w:tcPr>
            <w:tcW w:w="110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332" w:type="dxa"/>
            <w:tcBorders/>
            <w:vAlign w:val="center"/>
          </w:tcPr>
          <w:p>
            <w:pPr>
              <w:pStyle w:val="TableContents"/>
              <w:bidi w:val="0"/>
              <w:spacing w:before="0" w:after="1"/>
              <w:ind w:left="0" w:right="0" w:hanging="0"/>
              <w:jc w:val="left"/>
              <w:rPr/>
            </w:pPr>
            <w:r>
              <w:rPr/>
              <w:t>​</w:t>
            </w:r>
          </w:p>
        </w:tc>
        <w:tc>
          <w:tcPr>
            <w:tcW w:w="1064"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886" w:type="dxa"/>
            <w:tcBorders/>
            <w:vAlign w:val="center"/>
          </w:tcPr>
          <w:p>
            <w:pPr>
              <w:pStyle w:val="TableContents"/>
              <w:bidi w:val="0"/>
              <w:spacing w:before="0" w:after="1"/>
              <w:ind w:left="0" w:right="0" w:hanging="0"/>
              <w:jc w:val="left"/>
              <w:rPr/>
            </w:pPr>
            <w:r>
              <w:rPr/>
              <w:t>​</w:t>
            </w:r>
          </w:p>
        </w:tc>
      </w:tr>
      <w:tr>
        <w:trPr/>
        <w:tc>
          <w:tcPr>
            <w:tcW w:w="14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Balance at December 31, 2025</w:t>
            </w:r>
          </w:p>
        </w:tc>
        <w:tc>
          <w:tcPr>
            <w:tcW w:w="346" w:type="dxa"/>
            <w:tcBorders/>
            <w:shd w:fill="CCEEFF" w:val="clear"/>
            <w:vAlign w:val="center"/>
          </w:tcPr>
          <w:p>
            <w:pPr>
              <w:pStyle w:val="TableContents"/>
              <w:bidi w:val="0"/>
              <w:spacing w:before="0" w:after="1"/>
              <w:ind w:left="0" w:right="0" w:hanging="0"/>
              <w:jc w:val="left"/>
              <w:rPr/>
            </w:pPr>
            <w:r>
              <w:rPr/>
              <w:t>​</w:t>
            </w:r>
          </w:p>
        </w:tc>
        <w:tc>
          <w:tcPr>
            <w:tcW w:w="239"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47"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6,107</w:t>
            </w:r>
          </w:p>
        </w:tc>
        <w:tc>
          <w:tcPr>
            <w:tcW w:w="346" w:type="dxa"/>
            <w:tcBorders/>
            <w:shd w:fill="CCEEFF" w:val="clear"/>
            <w:vAlign w:val="center"/>
          </w:tcPr>
          <w:p>
            <w:pPr>
              <w:pStyle w:val="TableContents"/>
              <w:bidi w:val="0"/>
              <w:spacing w:before="0" w:after="1"/>
              <w:ind w:left="0" w:right="0" w:hanging="0"/>
              <w:jc w:val="left"/>
              <w:rPr/>
            </w:pPr>
            <w:r>
              <w:rPr/>
              <w:t>​</w:t>
            </w:r>
          </w:p>
        </w:tc>
        <w:tc>
          <w:tcPr>
            <w:tcW w:w="213"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93"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299,349</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249,380</w:t>
            </w:r>
          </w:p>
        </w:tc>
        <w:tc>
          <w:tcPr>
            <w:tcW w:w="346" w:type="dxa"/>
            <w:tcBorders/>
            <w:shd w:fill="CCEEFF" w:val="clear"/>
            <w:vAlign w:val="center"/>
          </w:tcPr>
          <w:p>
            <w:pPr>
              <w:pStyle w:val="TableContents"/>
              <w:bidi w:val="0"/>
              <w:spacing w:before="0" w:after="1"/>
              <w:ind w:left="0" w:right="0" w:hanging="0"/>
              <w:jc w:val="left"/>
              <w:rPr/>
            </w:pPr>
            <w:r>
              <w:rPr/>
              <w:t>​</w:t>
            </w:r>
          </w:p>
        </w:tc>
        <w:tc>
          <w:tcPr>
            <w:tcW w:w="275"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10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(196,067)</w:t>
            </w:r>
          </w:p>
        </w:tc>
        <w:tc>
          <w:tcPr>
            <w:tcW w:w="346" w:type="dxa"/>
            <w:tcBorders/>
            <w:shd w:fill="CCEEFF" w:val="clear"/>
            <w:vAlign w:val="center"/>
          </w:tcPr>
          <w:p>
            <w:pPr>
              <w:pStyle w:val="TableContents"/>
              <w:bidi w:val="0"/>
              <w:spacing w:before="0" w:after="1"/>
              <w:ind w:left="0" w:right="0" w:hanging="0"/>
              <w:jc w:val="left"/>
              <w:rPr/>
            </w:pPr>
            <w:r>
              <w:rPr/>
              <w:t>​</w:t>
            </w:r>
          </w:p>
        </w:tc>
        <w:tc>
          <w:tcPr>
            <w:tcW w:w="332"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064"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18,022</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8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376,791</w:t>
            </w:r>
          </w:p>
        </w:tc>
      </w:tr>
      <w:tr>
        <w:trPr/>
        <w:tc>
          <w:tcPr>
            <w:tcW w:w="141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Net income</w:t>
            </w:r>
          </w:p>
        </w:tc>
        <w:tc>
          <w:tcPr>
            <w:tcW w:w="346" w:type="dxa"/>
            <w:tcBorders/>
            <w:vAlign w:val="center"/>
          </w:tcPr>
          <w:p>
            <w:pPr>
              <w:pStyle w:val="TableContents"/>
              <w:bidi w:val="0"/>
              <w:spacing w:before="0" w:after="1"/>
              <w:ind w:left="0" w:right="0" w:hanging="0"/>
              <w:jc w:val="left"/>
              <w:rPr/>
            </w:pPr>
            <w:r>
              <w:rPr/>
              <w:t>​</w:t>
            </w:r>
          </w:p>
        </w:tc>
        <w:tc>
          <w:tcPr>
            <w:tcW w:w="239" w:type="dxa"/>
            <w:tcBorders/>
            <w:vAlign w:val="center"/>
          </w:tcPr>
          <w:p>
            <w:pPr>
              <w:pStyle w:val="TableContents"/>
              <w:bidi w:val="0"/>
              <w:spacing w:before="0" w:after="1"/>
              <w:ind w:left="0" w:right="0" w:hanging="0"/>
              <w:jc w:val="left"/>
              <w:rPr/>
            </w:pPr>
            <w:r>
              <w:rPr/>
              <w:t> </w:t>
            </w:r>
          </w:p>
        </w:tc>
        <w:tc>
          <w:tcPr>
            <w:tcW w:w="647"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213" w:type="dxa"/>
            <w:tcBorders/>
            <w:vAlign w:val="center"/>
          </w:tcPr>
          <w:p>
            <w:pPr>
              <w:pStyle w:val="TableContents"/>
              <w:bidi w:val="0"/>
              <w:spacing w:before="0" w:after="1"/>
              <w:ind w:left="0" w:right="0" w:hanging="0"/>
              <w:jc w:val="left"/>
              <w:rPr/>
            </w:pPr>
            <w:r>
              <w:rPr/>
              <w:t> </w:t>
            </w:r>
          </w:p>
        </w:tc>
        <w:tc>
          <w:tcPr>
            <w:tcW w:w="793"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781" w:type="dxa"/>
            <w:tcBorders/>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4,344</w:t>
            </w:r>
          </w:p>
        </w:tc>
        <w:tc>
          <w:tcPr>
            <w:tcW w:w="346" w:type="dxa"/>
            <w:tcBorders/>
            <w:vAlign w:val="center"/>
          </w:tcPr>
          <w:p>
            <w:pPr>
              <w:pStyle w:val="TableContents"/>
              <w:bidi w:val="0"/>
              <w:spacing w:before="0" w:after="1"/>
              <w:ind w:left="0" w:right="0" w:hanging="0"/>
              <w:jc w:val="left"/>
              <w:rPr/>
            </w:pPr>
            <w:r>
              <w:rPr/>
              <w:t>​</w:t>
            </w:r>
          </w:p>
        </w:tc>
        <w:tc>
          <w:tcPr>
            <w:tcW w:w="275" w:type="dxa"/>
            <w:tcBorders/>
            <w:vAlign w:val="center"/>
          </w:tcPr>
          <w:p>
            <w:pPr>
              <w:pStyle w:val="TableContents"/>
              <w:bidi w:val="0"/>
              <w:spacing w:before="0" w:after="1"/>
              <w:ind w:left="0" w:right="0" w:hanging="0"/>
              <w:jc w:val="left"/>
              <w:rPr/>
            </w:pPr>
            <w:r>
              <w:rPr/>
              <w:t> </w:t>
            </w:r>
          </w:p>
        </w:tc>
        <w:tc>
          <w:tcPr>
            <w:tcW w:w="1106"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332" w:type="dxa"/>
            <w:tcBorders/>
            <w:vAlign w:val="center"/>
          </w:tcPr>
          <w:p>
            <w:pPr>
              <w:pStyle w:val="TableContents"/>
              <w:bidi w:val="0"/>
              <w:spacing w:before="0" w:after="1"/>
              <w:ind w:left="0" w:right="0" w:hanging="0"/>
              <w:jc w:val="left"/>
              <w:rPr/>
            </w:pPr>
            <w:r>
              <w:rPr/>
              <w:t> </w:t>
            </w:r>
          </w:p>
        </w:tc>
        <w:tc>
          <w:tcPr>
            <w:tcW w:w="1064" w:type="dxa"/>
            <w:tcBorders/>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750</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886" w:type="dxa"/>
            <w:tcBorders/>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5,094</w:t>
            </w:r>
          </w:p>
        </w:tc>
      </w:tr>
      <w:tr>
        <w:trPr/>
        <w:tc>
          <w:tcPr>
            <w:tcW w:w="14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Other comprehensive income, net of tax</w:t>
            </w:r>
          </w:p>
        </w:tc>
        <w:tc>
          <w:tcPr>
            <w:tcW w:w="346" w:type="dxa"/>
            <w:tcBorders/>
            <w:shd w:fill="CCEEFF" w:val="clear"/>
            <w:vAlign w:val="center"/>
          </w:tcPr>
          <w:p>
            <w:pPr>
              <w:pStyle w:val="TableContents"/>
              <w:bidi w:val="0"/>
              <w:spacing w:before="0" w:after="1"/>
              <w:ind w:left="0" w:right="0" w:hanging="0"/>
              <w:jc w:val="left"/>
              <w:rPr/>
            </w:pPr>
            <w:r>
              <w:rPr/>
              <w:t>​</w:t>
            </w:r>
          </w:p>
        </w:tc>
        <w:tc>
          <w:tcPr>
            <w:tcW w:w="239" w:type="dxa"/>
            <w:tcBorders/>
            <w:shd w:fill="CCEEFF" w:val="clear"/>
            <w:vAlign w:val="center"/>
          </w:tcPr>
          <w:p>
            <w:pPr>
              <w:pStyle w:val="TableContents"/>
              <w:bidi w:val="0"/>
              <w:spacing w:before="0" w:after="1"/>
              <w:ind w:left="0" w:right="0" w:hanging="0"/>
              <w:jc w:val="left"/>
              <w:rPr/>
            </w:pPr>
            <w:r>
              <w:rPr/>
              <w:t> </w:t>
            </w:r>
          </w:p>
        </w:tc>
        <w:tc>
          <w:tcPr>
            <w:tcW w:w="647"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13" w:type="dxa"/>
            <w:tcBorders/>
            <w:shd w:fill="CCEEFF" w:val="clear"/>
            <w:vAlign w:val="center"/>
          </w:tcPr>
          <w:p>
            <w:pPr>
              <w:pStyle w:val="TableContents"/>
              <w:bidi w:val="0"/>
              <w:spacing w:before="0" w:after="1"/>
              <w:ind w:left="0" w:right="0" w:hanging="0"/>
              <w:jc w:val="left"/>
              <w:rPr/>
            </w:pPr>
            <w:r>
              <w:rPr/>
              <w:t> </w:t>
            </w:r>
          </w:p>
        </w:tc>
        <w:tc>
          <w:tcPr>
            <w:tcW w:w="793"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781"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75" w:type="dxa"/>
            <w:tcBorders/>
            <w:shd w:fill="CCEEFF" w:val="clear"/>
            <w:vAlign w:val="center"/>
          </w:tcPr>
          <w:p>
            <w:pPr>
              <w:pStyle w:val="TableContents"/>
              <w:bidi w:val="0"/>
              <w:spacing w:before="0" w:after="1"/>
              <w:ind w:left="0" w:right="0" w:hanging="0"/>
              <w:jc w:val="left"/>
              <w:rPr/>
            </w:pPr>
            <w:r>
              <w:rPr/>
              <w:t> </w:t>
            </w:r>
          </w:p>
        </w:tc>
        <w:tc>
          <w:tcPr>
            <w:tcW w:w="1106" w:type="dxa"/>
            <w:tcBorders/>
            <w:shd w:fill="CCEEFF" w:val="cle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1,102</w:t>
            </w:r>
          </w:p>
        </w:tc>
        <w:tc>
          <w:tcPr>
            <w:tcW w:w="346" w:type="dxa"/>
            <w:tcBorders/>
            <w:shd w:fill="CCEEFF" w:val="clear"/>
            <w:vAlign w:val="center"/>
          </w:tcPr>
          <w:p>
            <w:pPr>
              <w:pStyle w:val="TableContents"/>
              <w:bidi w:val="0"/>
              <w:spacing w:before="0" w:after="1"/>
              <w:ind w:left="0" w:right="0" w:hanging="0"/>
              <w:jc w:val="left"/>
              <w:rPr/>
            </w:pPr>
            <w:r>
              <w:rPr/>
              <w:t>​</w:t>
            </w:r>
          </w:p>
        </w:tc>
        <w:tc>
          <w:tcPr>
            <w:tcW w:w="332" w:type="dxa"/>
            <w:tcBorders/>
            <w:shd w:fill="CCEEFF" w:val="clear"/>
            <w:vAlign w:val="center"/>
          </w:tcPr>
          <w:p>
            <w:pPr>
              <w:pStyle w:val="TableContents"/>
              <w:bidi w:val="0"/>
              <w:spacing w:before="0" w:after="1"/>
              <w:ind w:left="0" w:right="0" w:hanging="0"/>
              <w:jc w:val="left"/>
              <w:rPr/>
            </w:pPr>
            <w:r>
              <w:rPr/>
              <w:t> </w:t>
            </w:r>
          </w:p>
        </w:tc>
        <w:tc>
          <w:tcPr>
            <w:tcW w:w="1064"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886" w:type="dxa"/>
            <w:tcBorders/>
            <w:shd w:fill="CCEEFF" w:val="cle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1,102</w:t>
            </w:r>
          </w:p>
        </w:tc>
      </w:tr>
      <w:tr>
        <w:trPr/>
        <w:tc>
          <w:tcPr>
            <w:tcW w:w="141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Dividends paid - $.10 per share</w:t>
            </w:r>
          </w:p>
        </w:tc>
        <w:tc>
          <w:tcPr>
            <w:tcW w:w="346" w:type="dxa"/>
            <w:tcBorders/>
            <w:vAlign w:val="center"/>
          </w:tcPr>
          <w:p>
            <w:pPr>
              <w:pStyle w:val="TableContents"/>
              <w:bidi w:val="0"/>
              <w:spacing w:before="0" w:after="1"/>
              <w:ind w:left="0" w:right="0" w:hanging="0"/>
              <w:jc w:val="left"/>
              <w:rPr/>
            </w:pPr>
            <w:r>
              <w:rPr/>
              <w:t>​</w:t>
            </w:r>
          </w:p>
        </w:tc>
        <w:tc>
          <w:tcPr>
            <w:tcW w:w="239" w:type="dxa"/>
            <w:tcBorders/>
            <w:vAlign w:val="center"/>
          </w:tcPr>
          <w:p>
            <w:pPr>
              <w:pStyle w:val="TableContents"/>
              <w:bidi w:val="0"/>
              <w:spacing w:before="0" w:after="1"/>
              <w:ind w:left="0" w:right="0" w:hanging="0"/>
              <w:jc w:val="left"/>
              <w:rPr/>
            </w:pPr>
            <w:r>
              <w:rPr/>
              <w:t> </w:t>
            </w:r>
          </w:p>
        </w:tc>
        <w:tc>
          <w:tcPr>
            <w:tcW w:w="647"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213" w:type="dxa"/>
            <w:tcBorders/>
            <w:vAlign w:val="center"/>
          </w:tcPr>
          <w:p>
            <w:pPr>
              <w:pStyle w:val="TableContents"/>
              <w:bidi w:val="0"/>
              <w:spacing w:before="0" w:after="1"/>
              <w:ind w:left="0" w:right="0" w:hanging="0"/>
              <w:jc w:val="left"/>
              <w:rPr/>
            </w:pPr>
            <w:r>
              <w:rPr/>
              <w:t> </w:t>
            </w:r>
          </w:p>
        </w:tc>
        <w:tc>
          <w:tcPr>
            <w:tcW w:w="793"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781" w:type="dxa"/>
            <w:tcBorders/>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(4,886)</w:t>
            </w:r>
          </w:p>
        </w:tc>
        <w:tc>
          <w:tcPr>
            <w:tcW w:w="346" w:type="dxa"/>
            <w:tcBorders/>
            <w:vAlign w:val="center"/>
          </w:tcPr>
          <w:p>
            <w:pPr>
              <w:pStyle w:val="TableContents"/>
              <w:bidi w:val="0"/>
              <w:spacing w:before="0" w:after="1"/>
              <w:ind w:left="0" w:right="0" w:hanging="0"/>
              <w:jc w:val="left"/>
              <w:rPr/>
            </w:pPr>
            <w:r>
              <w:rPr/>
              <w:t>​</w:t>
            </w:r>
          </w:p>
        </w:tc>
        <w:tc>
          <w:tcPr>
            <w:tcW w:w="275" w:type="dxa"/>
            <w:tcBorders/>
            <w:vAlign w:val="center"/>
          </w:tcPr>
          <w:p>
            <w:pPr>
              <w:pStyle w:val="TableContents"/>
              <w:bidi w:val="0"/>
              <w:spacing w:before="0" w:after="1"/>
              <w:ind w:left="0" w:right="0" w:hanging="0"/>
              <w:jc w:val="left"/>
              <w:rPr/>
            </w:pPr>
            <w:r>
              <w:rPr/>
              <w:t> </w:t>
            </w:r>
          </w:p>
        </w:tc>
        <w:tc>
          <w:tcPr>
            <w:tcW w:w="1106"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332" w:type="dxa"/>
            <w:tcBorders/>
            <w:vAlign w:val="center"/>
          </w:tcPr>
          <w:p>
            <w:pPr>
              <w:pStyle w:val="TableContents"/>
              <w:bidi w:val="0"/>
              <w:spacing w:before="0" w:after="1"/>
              <w:ind w:left="0" w:right="0" w:hanging="0"/>
              <w:jc w:val="left"/>
              <w:rPr/>
            </w:pPr>
            <w:r>
              <w:rPr/>
              <w:t> </w:t>
            </w:r>
          </w:p>
        </w:tc>
        <w:tc>
          <w:tcPr>
            <w:tcW w:w="1064"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886" w:type="dxa"/>
            <w:tcBorders/>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(4,886)</w:t>
            </w:r>
          </w:p>
        </w:tc>
      </w:tr>
      <w:tr>
        <w:trPr/>
        <w:tc>
          <w:tcPr>
            <w:tcW w:w="14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Dividends paid to noncontrolling interest</w:t>
            </w:r>
          </w:p>
        </w:tc>
        <w:tc>
          <w:tcPr>
            <w:tcW w:w="346" w:type="dxa"/>
            <w:tcBorders/>
            <w:shd w:fill="CCEEFF" w:val="clear"/>
            <w:vAlign w:val="center"/>
          </w:tcPr>
          <w:p>
            <w:pPr>
              <w:pStyle w:val="TableContents"/>
              <w:bidi w:val="0"/>
              <w:spacing w:before="0" w:after="1"/>
              <w:ind w:left="0" w:right="0" w:hanging="0"/>
              <w:jc w:val="left"/>
              <w:rPr/>
            </w:pPr>
            <w:r>
              <w:rPr/>
              <w:t>​</w:t>
            </w:r>
          </w:p>
        </w:tc>
        <w:tc>
          <w:tcPr>
            <w:tcW w:w="239"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647"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13"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793"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78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75"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110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332"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1064"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(470)</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88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(470)</w:t>
            </w:r>
          </w:p>
        </w:tc>
      </w:tr>
      <w:tr>
        <w:trPr/>
        <w:tc>
          <w:tcPr>
            <w:tcW w:w="141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239" w:type="dxa"/>
            <w:tcBorders/>
            <w:vAlign w:val="center"/>
          </w:tcPr>
          <w:p>
            <w:pPr>
              <w:pStyle w:val="TableContents"/>
              <w:bidi w:val="0"/>
              <w:spacing w:before="0" w:after="1"/>
              <w:ind w:left="0" w:right="0" w:hanging="0"/>
              <w:jc w:val="left"/>
              <w:rPr/>
            </w:pPr>
            <w:r>
              <w:rPr/>
              <w:t>​</w:t>
            </w:r>
          </w:p>
        </w:tc>
        <w:tc>
          <w:tcPr>
            <w:tcW w:w="647"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213" w:type="dxa"/>
            <w:tcBorders/>
            <w:vAlign w:val="center"/>
          </w:tcPr>
          <w:p>
            <w:pPr>
              <w:pStyle w:val="TableContents"/>
              <w:bidi w:val="0"/>
              <w:spacing w:before="0" w:after="1"/>
              <w:ind w:left="0" w:right="0" w:hanging="0"/>
              <w:jc w:val="left"/>
              <w:rPr/>
            </w:pPr>
            <w:r>
              <w:rPr/>
              <w:t>​</w:t>
            </w:r>
          </w:p>
        </w:tc>
        <w:tc>
          <w:tcPr>
            <w:tcW w:w="793"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78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275" w:type="dxa"/>
            <w:tcBorders/>
            <w:vAlign w:val="center"/>
          </w:tcPr>
          <w:p>
            <w:pPr>
              <w:pStyle w:val="TableContents"/>
              <w:bidi w:val="0"/>
              <w:spacing w:before="0" w:after="1"/>
              <w:ind w:left="0" w:right="0" w:hanging="0"/>
              <w:jc w:val="left"/>
              <w:rPr/>
            </w:pPr>
            <w:r>
              <w:rPr/>
              <w:t>​</w:t>
            </w:r>
          </w:p>
        </w:tc>
        <w:tc>
          <w:tcPr>
            <w:tcW w:w="110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332" w:type="dxa"/>
            <w:tcBorders/>
            <w:vAlign w:val="center"/>
          </w:tcPr>
          <w:p>
            <w:pPr>
              <w:pStyle w:val="TableContents"/>
              <w:bidi w:val="0"/>
              <w:spacing w:before="0" w:after="1"/>
              <w:ind w:left="0" w:right="0" w:hanging="0"/>
              <w:jc w:val="left"/>
              <w:rPr/>
            </w:pPr>
            <w:r>
              <w:rPr/>
              <w:t>​</w:t>
            </w:r>
          </w:p>
        </w:tc>
        <w:tc>
          <w:tcPr>
            <w:tcW w:w="1064"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886" w:type="dxa"/>
            <w:tcBorders/>
            <w:vAlign w:val="center"/>
          </w:tcPr>
          <w:p>
            <w:pPr>
              <w:pStyle w:val="TableContents"/>
              <w:bidi w:val="0"/>
              <w:spacing w:before="0" w:after="1"/>
              <w:ind w:left="0" w:right="0" w:hanging="0"/>
              <w:jc w:val="left"/>
              <w:rPr/>
            </w:pPr>
            <w:r>
              <w:rPr/>
              <w:t>​</w:t>
            </w:r>
          </w:p>
        </w:tc>
      </w:tr>
      <w:tr>
        <w:trPr/>
        <w:tc>
          <w:tcPr>
            <w:tcW w:w="14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Balance at March 31, 2026</w:t>
            </w:r>
          </w:p>
        </w:tc>
        <w:tc>
          <w:tcPr>
            <w:tcW w:w="346" w:type="dxa"/>
            <w:tcBorders/>
            <w:shd w:fill="CCEEFF" w:val="clear"/>
            <w:vAlign w:val="center"/>
          </w:tcPr>
          <w:p>
            <w:pPr>
              <w:pStyle w:val="TableContents"/>
              <w:bidi w:val="0"/>
              <w:spacing w:before="0" w:after="1"/>
              <w:ind w:left="0" w:right="0" w:hanging="0"/>
              <w:jc w:val="left"/>
              <w:rPr/>
            </w:pPr>
            <w:r>
              <w:rPr/>
              <w:t>​</w:t>
            </w:r>
          </w:p>
        </w:tc>
        <w:tc>
          <w:tcPr>
            <w:tcW w:w="239"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w:t>
            </w:r>
          </w:p>
        </w:tc>
        <w:tc>
          <w:tcPr>
            <w:tcW w:w="647"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6,107</w:t>
            </w:r>
          </w:p>
        </w:tc>
        <w:tc>
          <w:tcPr>
            <w:tcW w:w="346" w:type="dxa"/>
            <w:tcBorders/>
            <w:shd w:fill="CCEEFF" w:val="clear"/>
            <w:vAlign w:val="center"/>
          </w:tcPr>
          <w:p>
            <w:pPr>
              <w:pStyle w:val="TableContents"/>
              <w:bidi w:val="0"/>
              <w:spacing w:before="0" w:after="1"/>
              <w:ind w:left="0" w:right="0" w:hanging="0"/>
              <w:jc w:val="left"/>
              <w:rPr/>
            </w:pPr>
            <w:r>
              <w:rPr/>
              <w:t>​</w:t>
            </w:r>
          </w:p>
        </w:tc>
        <w:tc>
          <w:tcPr>
            <w:tcW w:w="213"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w:t>
            </w:r>
          </w:p>
        </w:tc>
        <w:tc>
          <w:tcPr>
            <w:tcW w:w="793"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299,349</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w:t>
            </w:r>
          </w:p>
        </w:tc>
        <w:tc>
          <w:tcPr>
            <w:tcW w:w="78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248,838</w:t>
            </w:r>
          </w:p>
        </w:tc>
        <w:tc>
          <w:tcPr>
            <w:tcW w:w="346" w:type="dxa"/>
            <w:tcBorders/>
            <w:shd w:fill="CCEEFF" w:val="clear"/>
            <w:vAlign w:val="center"/>
          </w:tcPr>
          <w:p>
            <w:pPr>
              <w:pStyle w:val="TableContents"/>
              <w:bidi w:val="0"/>
              <w:spacing w:before="0" w:after="1"/>
              <w:ind w:left="0" w:right="0" w:hanging="0"/>
              <w:jc w:val="left"/>
              <w:rPr/>
            </w:pPr>
            <w:r>
              <w:rPr/>
              <w:t>​</w:t>
            </w:r>
          </w:p>
        </w:tc>
        <w:tc>
          <w:tcPr>
            <w:tcW w:w="275"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w:t>
            </w:r>
          </w:p>
        </w:tc>
        <w:tc>
          <w:tcPr>
            <w:tcW w:w="110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(194,965)</w:t>
            </w:r>
          </w:p>
        </w:tc>
        <w:tc>
          <w:tcPr>
            <w:tcW w:w="346" w:type="dxa"/>
            <w:tcBorders/>
            <w:shd w:fill="CCEEFF" w:val="clear"/>
            <w:vAlign w:val="center"/>
          </w:tcPr>
          <w:p>
            <w:pPr>
              <w:pStyle w:val="TableContents"/>
              <w:bidi w:val="0"/>
              <w:spacing w:before="0" w:after="1"/>
              <w:ind w:left="0" w:right="0" w:hanging="0"/>
              <w:jc w:val="left"/>
              <w:rPr/>
            </w:pPr>
            <w:r>
              <w:rPr/>
              <w:t>​</w:t>
            </w:r>
          </w:p>
        </w:tc>
        <w:tc>
          <w:tcPr>
            <w:tcW w:w="332"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w:t>
            </w:r>
          </w:p>
        </w:tc>
        <w:tc>
          <w:tcPr>
            <w:tcW w:w="1064"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18,302</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w:t>
            </w:r>
          </w:p>
        </w:tc>
        <w:tc>
          <w:tcPr>
            <w:tcW w:w="886" w:type="dxa"/>
            <w:tcBorders>
              <w:bottom w:val="double" w:sz="6" w:space="0" w:color="000000"/>
            </w:tcBorders>
            <w:shd w:fill="CCEEFF" w:val="clear"/>
            <w:tcMar>
              <w:bottom w:w="28" w:type="dxa"/>
            </w:tcMar>
            <w:vAlign w:val="center"/>
          </w:tcPr>
          <w:p>
            <w:pPr>
              <w:pStyle w:val="TableContents"/>
              <w:bidi w:val="0"/>
              <w:spacing w:before="0" w:after="1"/>
              <w:ind w:left="0" w:right="60" w:hanging="0"/>
              <w:jc w:val="right"/>
              <w:rPr>
                <w:rFonts w:ascii="Times New Roman;Times;serif" w:hAnsi="Times New Roman;Times;serif"/>
                <w:b/>
                <w:sz w:val="20"/>
              </w:rPr>
            </w:pPr>
            <w:r>
              <w:rPr>
                <w:rFonts w:ascii="Times New Roman;Times;serif" w:hAnsi="Times New Roman;Times;serif"/>
                <w:b/>
                <w:sz w:val="20"/>
              </w:rPr>
              <w:t>377,631</w:t>
            </w:r>
          </w:p>
        </w:tc>
      </w:tr>
    </w:tbl>
    <w:p>
      <w:pPr>
        <w:pStyle w:val="TextBody"/>
        <w:bidi w:val="0"/>
        <w:spacing w:lineRule="auto" w:line="199" w:before="0" w:after="240"/>
        <w:ind w:left="0" w:right="0" w:hanging="0"/>
        <w:jc w:val="both"/>
        <w:rPr/>
      </w:pPr>
      <w:r>
        <w:rPr/>
        <w:t>​</w:t>
      </w:r>
    </w:p>
    <w:p>
      <w:pPr>
        <w:pStyle w:val="TextBody"/>
        <w:bidi w:val="0"/>
        <w:spacing w:lineRule="auto" w:line="199" w:before="0" w:after="240"/>
        <w:ind w:left="0" w:right="0" w:hanging="0"/>
        <w:jc w:val="both"/>
        <w:rPr/>
      </w:pPr>
      <w:r>
        <w:rPr/>
        <w:t>​</w:t>
      </w:r>
    </w:p>
    <w:p>
      <w:pPr>
        <w:pStyle w:val="TextBody"/>
        <w:bidi w:val="0"/>
        <w:spacing w:lineRule="auto" w:line="144" w:before="120" w:after="120"/>
        <w:ind w:left="0" w:right="0" w:hanging="0"/>
        <w:jc w:val="center"/>
        <w:rPr>
          <w:rFonts w:ascii="Times New Roman;Times;serif" w:hAnsi="Times New Roman;Times;serif"/>
          <w:sz w:val="20"/>
        </w:rPr>
      </w:pPr>
      <w:r>
        <w:rPr>
          <w:rFonts w:ascii="Times New Roman;Times;serif" w:hAnsi="Times New Roman;Times;serif"/>
          <w:sz w:val="20"/>
        </w:rPr>
        <w:t>See accompanying notes to Condensed Consolidated Financial Statements.</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7</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left"/>
        <w:rPr/>
      </w:pPr>
      <w:r>
        <w:rPr/>
        <w:t>​</w:t>
      </w:r>
    </w:p>
    <w:p>
      <w:pPr>
        <w:pStyle w:val="TextBody"/>
        <w:bidi w:val="0"/>
        <w:spacing w:before="0" w:after="30"/>
        <w:ind w:left="0" w:right="0" w:hanging="0"/>
        <w:jc w:val="center"/>
        <w:rPr>
          <w:rFonts w:ascii="Times New Roman;Times;serif" w:hAnsi="Times New Roman;Times;serif"/>
          <w:b/>
          <w:sz w:val="20"/>
        </w:rPr>
      </w:pPr>
      <w:bookmarkStart w:id="461" w:name="_f21e3725_a495_40b7_9434_b2e925f91ac1"/>
      <w:bookmarkEnd w:id="461"/>
      <w:r>
        <w:rPr>
          <w:rFonts w:ascii="Times New Roman;Times;serif" w:hAnsi="Times New Roman;Times;serif"/>
          <w:b/>
          <w:sz w:val="20"/>
        </w:rPr>
        <w:t>NL INDUSTRIES, INC. AND SUBSIDIARIES</w:t>
      </w:r>
    </w:p>
    <w:p>
      <w:pPr>
        <w:pStyle w:val="TextBody"/>
        <w:bidi w:val="0"/>
        <w:spacing w:before="0" w:after="20"/>
        <w:ind w:left="0" w:right="0" w:hanging="0"/>
        <w:jc w:val="center"/>
        <w:rPr>
          <w:rFonts w:ascii="Times New Roman;Times;serif" w:hAnsi="Times New Roman;Times;serif"/>
          <w:b/>
          <w:sz w:val="20"/>
        </w:rPr>
      </w:pPr>
      <w:bookmarkStart w:id="462" w:name="CONDENSEDCONSOLIDATEDSTATEMENTSOFCASHFLO"/>
      <w:bookmarkEnd w:id="462"/>
      <w:r>
        <w:rPr>
          <w:rFonts w:ascii="Times New Roman;Times;serif" w:hAnsi="Times New Roman;Times;serif"/>
          <w:b/>
          <w:sz w:val="20"/>
        </w:rPr>
        <w:t>CONDENSED CONSOLIDATED STATEMENTS OF CASH FLOWS</w:t>
      </w:r>
    </w:p>
    <w:p>
      <w:pPr>
        <w:pStyle w:val="TextBody"/>
        <w:bidi w:val="0"/>
        <w:spacing w:before="0" w:after="20"/>
        <w:ind w:left="0" w:right="0" w:hanging="0"/>
        <w:jc w:val="center"/>
        <w:rPr>
          <w:rFonts w:ascii="Times New Roman;Times;serif" w:hAnsi="Times New Roman;Times;serif"/>
          <w:b/>
          <w:sz w:val="20"/>
        </w:rPr>
      </w:pPr>
      <w:r>
        <w:rPr>
          <w:rFonts w:ascii="Times New Roman;Times;serif" w:hAnsi="Times New Roman;Times;serif"/>
          <w:b/>
          <w:sz w:val="20"/>
        </w:rPr>
        <w:t>(In thousands)</w:t>
      </w:r>
    </w:p>
    <w:p>
      <w:pPr>
        <w:pStyle w:val="Normal"/>
        <w:bidi w:val="0"/>
        <w:spacing w:before="0" w:after="0"/>
        <w:jc w:val="left"/>
        <w:rPr>
          <w:sz w:val="4"/>
          <w:szCs w:val="4"/>
        </w:rPr>
      </w:pPr>
      <w:r>
        <w:rPr>
          <w:sz w:val="4"/>
          <w:szCs w:val="4"/>
        </w:rPr>
      </w:r>
      <w:bookmarkStart w:id="463" w:name="Tc_9xUcvPylb0CUMOYUTzJJCw_48_3"/>
      <w:bookmarkStart w:id="464" w:name="Tc_8iFmkvmkDUSuacw_GmdH3Q_48_0"/>
      <w:bookmarkStart w:id="465" w:name="Tc_1fuhG0qUIUCem4EW-TMOUQ_47_5"/>
      <w:bookmarkStart w:id="466" w:name="Tc_YZ62GvbGmka9BgiWLab1Eg_47_2"/>
      <w:bookmarkStart w:id="467" w:name="Tc_wpHJG_PA1EetDnB9BoBnGg_47_0"/>
      <w:bookmarkStart w:id="468" w:name="Tc_a3c1mdlg40uzcfk9ChmgmQ_46_0"/>
      <w:bookmarkStart w:id="469" w:name="Tc_WQtdLslVukKjVUEeWx1MCg_45_5"/>
      <w:bookmarkStart w:id="470" w:name="Tc_DlJOxLe5Ck-ggdqFQmPA4Q_45_2"/>
      <w:bookmarkStart w:id="471" w:name="Tc_rKy5rDF5vEybKEptp5nM9A_45_0"/>
      <w:bookmarkStart w:id="472" w:name="Tc_RXinFto5nkeJVlwtJhiMcw_44_0"/>
      <w:bookmarkStart w:id="473" w:name="Tc_EIlqHGzs2EmJXe-JHgjQ3g_42_5"/>
      <w:bookmarkStart w:id="474" w:name="Tc_6O7Ctg9GD06Ly7QjGAET0g_42_2"/>
      <w:bookmarkStart w:id="475" w:name="Tc_6ZPFxeN3A0ytNCy0HzkPVg_42_0"/>
      <w:bookmarkStart w:id="476" w:name="Tc_Z5jTGCMXT0Wun7-kb8Wrtw_40_0"/>
      <w:bookmarkStart w:id="477" w:name="Tc_CwiA8cL0PUmD0CLP0_hYmw_39_0"/>
      <w:bookmarkStart w:id="478" w:name="Tc_xUblA_Atzkmll7BYyGSbBg_38_0"/>
      <w:bookmarkStart w:id="479" w:name="Tc_YGXbpD_pekGXUyOo5oP_-Q_36_0"/>
      <w:bookmarkStart w:id="480" w:name="Tc_8tdbN2bSY0CYUv1LYHQT3Q_35_0"/>
      <w:bookmarkStart w:id="481" w:name="Tc_d1qoK9whLU2ncn2ChI-DGQ_34_0"/>
      <w:bookmarkStart w:id="482" w:name="Tc_tIFsU3DI2kq2mdA6IByjtA_33_0"/>
      <w:bookmarkStart w:id="483" w:name="Tc_NXWQtcOK_ECMfRCeBsC_hA_31_0"/>
      <w:bookmarkStart w:id="484" w:name="Tc_b0oJSaoXCkiEaKYs-RMNOQ_30_6"/>
      <w:bookmarkStart w:id="485" w:name="Tc_I_HFZBrbl0OpdCQVWRXcXA_30_0"/>
      <w:bookmarkStart w:id="486" w:name="Tc_yDxLgFO5rUWzuDve8khBGA_29_0"/>
      <w:bookmarkStart w:id="487" w:name="Tc_LhsL276rJU6qpfqpO5KGmA_28_0"/>
      <w:bookmarkStart w:id="488" w:name="Tc_P0q-Iv4Nv0ebtPHvBLnZjg_27_0"/>
      <w:bookmarkStart w:id="489" w:name="Tc_HKaCEkv5UkyxGtrISixGog_26_0"/>
      <w:bookmarkStart w:id="490" w:name="Tc_bKiWR3Rke0qNLLrYoRReWQ_25_0"/>
      <w:bookmarkStart w:id="491" w:name="Tc_PH9qFBqjWk2HogUUkpikbw_23_0"/>
      <w:bookmarkStart w:id="492" w:name="Tc_n-NK8sv1HUSmLN5sfidMtA_22_0"/>
      <w:bookmarkStart w:id="493" w:name="Tc_FNgsQseQxUu2kl6BnemdBg_21_0"/>
      <w:bookmarkStart w:id="494" w:name="Tc_X6DxFv_aA0qpYHByvbTJ5g_20_0"/>
      <w:bookmarkStart w:id="495" w:name="Tc_Bc4DDxMS_EGMGgSZgBJLgA_19_0"/>
      <w:bookmarkStart w:id="496" w:name="Tc_rcH98H3L-ECXmatZn_Bauw_18_0"/>
      <w:bookmarkStart w:id="497" w:name="Tc_AKRPGWyOu0WCHZmBCrGFTA_17_0"/>
      <w:bookmarkStart w:id="498" w:name="Tc_vc0NuEoIv0K3aJo5bhvkjQ_16_0"/>
      <w:bookmarkStart w:id="499" w:name="Tc_r2XauI_bIEuNsSAV7MP1Jg_15_0"/>
      <w:bookmarkStart w:id="500" w:name="Tc_14FjKHG-iUuwKam8-79_aQ_14_0"/>
      <w:bookmarkStart w:id="501" w:name="Tc_6sMAKKWzakGqkGMokG2eXA_13_6"/>
      <w:bookmarkStart w:id="502" w:name="Tc_OzmqZXL9rkGUyynZNmgQ0A_13_0"/>
      <w:bookmarkStart w:id="503" w:name="Tc_Iiz_yn1uUEOuijQs-Q4dpA_12_6"/>
      <w:bookmarkStart w:id="504" w:name="Tc_fD4Z4javzEKWEMabxQ9hWg_12_0"/>
      <w:bookmarkStart w:id="505" w:name="Tc_78BAheLmxE638m31RS0l_Q_11_0"/>
      <w:bookmarkStart w:id="506" w:name="Tc_6wb5J36fJkeMUZWFYR6vsA_10_0"/>
      <w:bookmarkStart w:id="507" w:name="Tc_UiPsLT4Wz0KlHdw3kQ3hCA_9_0"/>
      <w:bookmarkStart w:id="508" w:name="Tc_YTrsvbC-l0y0m9PlF1L-ug_8_0"/>
      <w:bookmarkStart w:id="509" w:name="Tc_giFw9b_gjUmKuUPiO2qAiA_7_0"/>
      <w:bookmarkStart w:id="510" w:name="Tc_uvkqhPuevUaa-_y7jfYqYw_6_5"/>
      <w:bookmarkStart w:id="511" w:name="Tc_2Zf3LmNJREigE3ulROs1MQ_6_2"/>
      <w:bookmarkStart w:id="512" w:name="Tc_uZ3LaPX7gE-zzMba3DSAMw_6_0"/>
      <w:bookmarkStart w:id="513" w:name="Tc_7BMIKcy8VEOgDtvIuvFdpw_5_0"/>
      <w:bookmarkStart w:id="514" w:name="Tc_rGWCKq2cGk6mtu9SE-HwVw_4_2"/>
      <w:bookmarkStart w:id="515" w:name="Tc_ht0gunzVbUachjcA5ytLxA_3_5"/>
      <w:bookmarkStart w:id="516" w:name="Tc_SWstbQBfa0y9h4etXmnzHQ_3_2"/>
      <w:bookmarkStart w:id="517" w:name="Tc_XTgYpMw6wEq_y6Rhx8BjQA_2_2"/>
      <w:bookmarkStart w:id="518" w:name="Tc_j-Mi5LAbMki7zCj0b_Ftnw_1_2"/>
      <w:bookmarkStart w:id="519" w:name="_6bf1a65b_a763_4102_aa02_2bedb1b002b3"/>
      <w:bookmarkStart w:id="520" w:name="Tc_9xUcvPylb0CUMOYUTzJJCw_48_3"/>
      <w:bookmarkStart w:id="521" w:name="Tc_8iFmkvmkDUSuacw_GmdH3Q_48_0"/>
      <w:bookmarkStart w:id="522" w:name="Tc_1fuhG0qUIUCem4EW-TMOUQ_47_5"/>
      <w:bookmarkStart w:id="523" w:name="Tc_YZ62GvbGmka9BgiWLab1Eg_47_2"/>
      <w:bookmarkStart w:id="524" w:name="Tc_wpHJG_PA1EetDnB9BoBnGg_47_0"/>
      <w:bookmarkStart w:id="525" w:name="Tc_a3c1mdlg40uzcfk9ChmgmQ_46_0"/>
      <w:bookmarkStart w:id="526" w:name="Tc_WQtdLslVukKjVUEeWx1MCg_45_5"/>
      <w:bookmarkStart w:id="527" w:name="Tc_DlJOxLe5Ck-ggdqFQmPA4Q_45_2"/>
      <w:bookmarkStart w:id="528" w:name="Tc_rKy5rDF5vEybKEptp5nM9A_45_0"/>
      <w:bookmarkStart w:id="529" w:name="Tc_RXinFto5nkeJVlwtJhiMcw_44_0"/>
      <w:bookmarkStart w:id="530" w:name="Tc_EIlqHGzs2EmJXe-JHgjQ3g_42_5"/>
      <w:bookmarkStart w:id="531" w:name="Tc_6O7Ctg9GD06Ly7QjGAET0g_42_2"/>
      <w:bookmarkStart w:id="532" w:name="Tc_6ZPFxeN3A0ytNCy0HzkPVg_42_0"/>
      <w:bookmarkStart w:id="533" w:name="Tc_Z5jTGCMXT0Wun7-kb8Wrtw_40_0"/>
      <w:bookmarkStart w:id="534" w:name="Tc_CwiA8cL0PUmD0CLP0_hYmw_39_0"/>
      <w:bookmarkStart w:id="535" w:name="Tc_xUblA_Atzkmll7BYyGSbBg_38_0"/>
      <w:bookmarkStart w:id="536" w:name="Tc_YGXbpD_pekGXUyOo5oP_-Q_36_0"/>
      <w:bookmarkStart w:id="537" w:name="Tc_8tdbN2bSY0CYUv1LYHQT3Q_35_0"/>
      <w:bookmarkStart w:id="538" w:name="Tc_d1qoK9whLU2ncn2ChI-DGQ_34_0"/>
      <w:bookmarkStart w:id="539" w:name="Tc_tIFsU3DI2kq2mdA6IByjtA_33_0"/>
      <w:bookmarkStart w:id="540" w:name="Tc_NXWQtcOK_ECMfRCeBsC_hA_31_0"/>
      <w:bookmarkStart w:id="541" w:name="Tc_b0oJSaoXCkiEaKYs-RMNOQ_30_6"/>
      <w:bookmarkStart w:id="542" w:name="Tc_I_HFZBrbl0OpdCQVWRXcXA_30_0"/>
      <w:bookmarkStart w:id="543" w:name="Tc_yDxLgFO5rUWzuDve8khBGA_29_0"/>
      <w:bookmarkStart w:id="544" w:name="Tc_LhsL276rJU6qpfqpO5KGmA_28_0"/>
      <w:bookmarkStart w:id="545" w:name="Tc_P0q-Iv4Nv0ebtPHvBLnZjg_27_0"/>
      <w:bookmarkStart w:id="546" w:name="Tc_HKaCEkv5UkyxGtrISixGog_26_0"/>
      <w:bookmarkStart w:id="547" w:name="Tc_bKiWR3Rke0qNLLrYoRReWQ_25_0"/>
      <w:bookmarkStart w:id="548" w:name="Tc_PH9qFBqjWk2HogUUkpikbw_23_0"/>
      <w:bookmarkStart w:id="549" w:name="Tc_n-NK8sv1HUSmLN5sfidMtA_22_0"/>
      <w:bookmarkStart w:id="550" w:name="Tc_FNgsQseQxUu2kl6BnemdBg_21_0"/>
      <w:bookmarkStart w:id="551" w:name="Tc_X6DxFv_aA0qpYHByvbTJ5g_20_0"/>
      <w:bookmarkStart w:id="552" w:name="Tc_Bc4DDxMS_EGMGgSZgBJLgA_19_0"/>
      <w:bookmarkStart w:id="553" w:name="Tc_rcH98H3L-ECXmatZn_Bauw_18_0"/>
      <w:bookmarkStart w:id="554" w:name="Tc_AKRPGWyOu0WCHZmBCrGFTA_17_0"/>
      <w:bookmarkStart w:id="555" w:name="Tc_vc0NuEoIv0K3aJo5bhvkjQ_16_0"/>
      <w:bookmarkStart w:id="556" w:name="Tc_r2XauI_bIEuNsSAV7MP1Jg_15_0"/>
      <w:bookmarkStart w:id="557" w:name="Tc_14FjKHG-iUuwKam8-79_aQ_14_0"/>
      <w:bookmarkStart w:id="558" w:name="Tc_6sMAKKWzakGqkGMokG2eXA_13_6"/>
      <w:bookmarkStart w:id="559" w:name="Tc_OzmqZXL9rkGUyynZNmgQ0A_13_0"/>
      <w:bookmarkStart w:id="560" w:name="Tc_Iiz_yn1uUEOuijQs-Q4dpA_12_6"/>
      <w:bookmarkStart w:id="561" w:name="Tc_fD4Z4javzEKWEMabxQ9hWg_12_0"/>
      <w:bookmarkStart w:id="562" w:name="Tc_78BAheLmxE638m31RS0l_Q_11_0"/>
      <w:bookmarkStart w:id="563" w:name="Tc_6wb5J36fJkeMUZWFYR6vsA_10_0"/>
      <w:bookmarkStart w:id="564" w:name="Tc_UiPsLT4Wz0KlHdw3kQ3hCA_9_0"/>
      <w:bookmarkStart w:id="565" w:name="Tc_YTrsvbC-l0y0m9PlF1L-ug_8_0"/>
      <w:bookmarkStart w:id="566" w:name="Tc_giFw9b_gjUmKuUPiO2qAiA_7_0"/>
      <w:bookmarkStart w:id="567" w:name="Tc_uvkqhPuevUaa-_y7jfYqYw_6_5"/>
      <w:bookmarkStart w:id="568" w:name="Tc_2Zf3LmNJREigE3ulROs1MQ_6_2"/>
      <w:bookmarkStart w:id="569" w:name="Tc_uZ3LaPX7gE-zzMba3DSAMw_6_0"/>
      <w:bookmarkStart w:id="570" w:name="Tc_7BMIKcy8VEOgDtvIuvFdpw_5_0"/>
      <w:bookmarkStart w:id="571" w:name="Tc_rGWCKq2cGk6mtu9SE-HwVw_4_2"/>
      <w:bookmarkStart w:id="572" w:name="Tc_ht0gunzVbUachjcA5ytLxA_3_5"/>
      <w:bookmarkStart w:id="573" w:name="Tc_SWstbQBfa0y9h4etXmnzHQ_3_2"/>
      <w:bookmarkStart w:id="574" w:name="Tc_XTgYpMw6wEq_y6Rhx8BjQA_2_2"/>
      <w:bookmarkStart w:id="575" w:name="Tc_j-Mi5LAbMki7zCj0b_Ftnw_1_2"/>
      <w:bookmarkStart w:id="576" w:name="_6bf1a65b_a763_4102_aa02_2bedb1b002b3"/>
      <w:bookmarkEnd w:id="520"/>
      <w:bookmarkEnd w:id="521"/>
      <w:bookmarkEnd w:id="522"/>
      <w:bookmarkEnd w:id="523"/>
      <w:bookmarkEnd w:id="524"/>
      <w:bookmarkEnd w:id="525"/>
      <w:bookmarkEnd w:id="526"/>
      <w:bookmarkEnd w:id="527"/>
      <w:bookmarkEnd w:id="528"/>
      <w:bookmarkEnd w:id="529"/>
      <w:bookmarkEnd w:id="530"/>
      <w:bookmarkEnd w:id="531"/>
      <w:bookmarkEnd w:id="532"/>
      <w:bookmarkEnd w:id="533"/>
      <w:bookmarkEnd w:id="534"/>
      <w:bookmarkEnd w:id="535"/>
      <w:bookmarkEnd w:id="536"/>
      <w:bookmarkEnd w:id="537"/>
      <w:bookmarkEnd w:id="538"/>
      <w:bookmarkEnd w:id="539"/>
      <w:bookmarkEnd w:id="540"/>
      <w:bookmarkEnd w:id="541"/>
      <w:bookmarkEnd w:id="542"/>
      <w:bookmarkEnd w:id="543"/>
      <w:bookmarkEnd w:id="544"/>
      <w:bookmarkEnd w:id="545"/>
      <w:bookmarkEnd w:id="546"/>
      <w:bookmarkEnd w:id="547"/>
      <w:bookmarkEnd w:id="548"/>
      <w:bookmarkEnd w:id="549"/>
      <w:bookmarkEnd w:id="550"/>
      <w:bookmarkEnd w:id="551"/>
      <w:bookmarkEnd w:id="552"/>
      <w:bookmarkEnd w:id="553"/>
      <w:bookmarkEnd w:id="554"/>
      <w:bookmarkEnd w:id="555"/>
      <w:bookmarkEnd w:id="556"/>
      <w:bookmarkEnd w:id="557"/>
      <w:bookmarkEnd w:id="558"/>
      <w:bookmarkEnd w:id="559"/>
      <w:bookmarkEnd w:id="560"/>
      <w:bookmarkEnd w:id="561"/>
      <w:bookmarkEnd w:id="562"/>
      <w:bookmarkEnd w:id="563"/>
      <w:bookmarkEnd w:id="564"/>
      <w:bookmarkEnd w:id="565"/>
      <w:bookmarkEnd w:id="566"/>
      <w:bookmarkEnd w:id="567"/>
      <w:bookmarkEnd w:id="568"/>
      <w:bookmarkEnd w:id="569"/>
      <w:bookmarkEnd w:id="570"/>
      <w:bookmarkEnd w:id="571"/>
      <w:bookmarkEnd w:id="572"/>
      <w:bookmarkEnd w:id="573"/>
      <w:bookmarkEnd w:id="574"/>
      <w:bookmarkEnd w:id="575"/>
      <w:bookmarkEnd w:id="576"/>
    </w:p>
    <w:tbl>
      <w:tblPr>
        <w:tblW w:w="7672" w:type="dxa"/>
        <w:jc w:val="left"/>
        <w:tblInd w:w="0" w:type="dxa"/>
        <w:tblLayout w:type="fixed"/>
        <w:tblCellMar>
          <w:top w:w="0" w:type="dxa"/>
          <w:left w:w="0" w:type="dxa"/>
          <w:bottom w:w="0" w:type="dxa"/>
          <w:right w:w="0" w:type="dxa"/>
        </w:tblCellMar>
      </w:tblPr>
      <w:tblGrid>
        <w:gridCol w:w="4936"/>
        <w:gridCol w:w="346"/>
        <w:gridCol w:w="211"/>
        <w:gridCol w:w="796"/>
        <w:gridCol w:w="346"/>
        <w:gridCol w:w="211"/>
        <w:gridCol w:w="826"/>
      </w:tblGrid>
      <w:tr>
        <w:trPr/>
        <w:tc>
          <w:tcPr>
            <w:tcW w:w="49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3134360" cy="175260"/>
                      <wp:effectExtent l="0" t="0" r="0" b="0"/>
                      <wp:wrapNone/>
                      <wp:docPr id="51" name="Frame51"/>
                      <a:graphic xmlns:a="http://schemas.openxmlformats.org/drawingml/2006/main">
                        <a:graphicData uri="http://schemas.microsoft.com/office/word/2010/wordprocessingShape">
                          <wps:wsp>
                            <wps:cNvSpPr txBox="1"/>
                            <wps:spPr>
                              <a:xfrm>
                                <a:off x="0" y="0"/>
                                <a:ext cx="31343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46.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219710" cy="175260"/>
                      <wp:effectExtent l="0" t="0" r="0" b="0"/>
                      <wp:wrapNone/>
                      <wp:docPr id="52" name="Frame52"/>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133985" cy="175260"/>
                      <wp:effectExtent l="0" t="0" r="0" b="0"/>
                      <wp:wrapNone/>
                      <wp:docPr id="53" name="Frame53"/>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505460" cy="175260"/>
                      <wp:effectExtent l="0" t="0" r="0" b="0"/>
                      <wp:wrapNone/>
                      <wp:docPr id="54" name="Frame54"/>
                      <a:graphic xmlns:a="http://schemas.openxmlformats.org/drawingml/2006/main">
                        <a:graphicData uri="http://schemas.microsoft.com/office/word/2010/wordprocessingShape">
                          <wps:wsp>
                            <wps:cNvSpPr txBox="1"/>
                            <wps:spPr>
                              <a:xfrm>
                                <a:off x="0" y="0"/>
                                <a:ext cx="505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219710" cy="175260"/>
                      <wp:effectExtent l="0" t="0" r="0" b="0"/>
                      <wp:wrapNone/>
                      <wp:docPr id="55" name="Frame55"/>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133985" cy="175260"/>
                      <wp:effectExtent l="0" t="0" r="0" b="0"/>
                      <wp:wrapNone/>
                      <wp:docPr id="56" name="Frame56"/>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8">
                      <wp:simplePos x="0" y="0"/>
                      <wp:positionH relativeFrom="character">
                        <wp:align>left</wp:align>
                      </wp:positionH>
                      <wp:positionV relativeFrom="line">
                        <wp:posOffset>635</wp:posOffset>
                      </wp:positionV>
                      <wp:extent cx="524510" cy="175260"/>
                      <wp:effectExtent l="0" t="0" r="0" b="0"/>
                      <wp:wrapNone/>
                      <wp:docPr id="57" name="Frame57"/>
                      <a:graphic xmlns:a="http://schemas.openxmlformats.org/drawingml/2006/main">
                        <a:graphicData uri="http://schemas.microsoft.com/office/word/2010/wordprocessingShape">
                          <wps:wsp>
                            <wps:cNvSpPr txBox="1"/>
                            <wps:spPr>
                              <a:xfrm>
                                <a:off x="0" y="0"/>
                                <a:ext cx="5245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493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  ​ ​ ​</w:t>
            </w:r>
          </w:p>
        </w:tc>
        <w:tc>
          <w:tcPr>
            <w:tcW w:w="2390" w:type="dxa"/>
            <w:gridSpan w:val="5"/>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 xml:space="preserve">Three months ended </w:t>
            </w:r>
          </w:p>
        </w:tc>
      </w:tr>
      <w:tr>
        <w:trPr/>
        <w:tc>
          <w:tcPr>
            <w:tcW w:w="493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2390"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March 31, </w:t>
            </w:r>
          </w:p>
        </w:tc>
      </w:tr>
      <w:tr>
        <w:trPr/>
        <w:tc>
          <w:tcPr>
            <w:tcW w:w="493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  ​ ​ ​</w:t>
            </w:r>
          </w:p>
        </w:tc>
        <w:tc>
          <w:tcPr>
            <w:tcW w:w="100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2025</w:t>
            </w:r>
          </w:p>
        </w:tc>
        <w:tc>
          <w:tcPr>
            <w:tcW w:w="346" w:type="dxa"/>
            <w:tcBorders/>
            <w:vAlign w:val="center"/>
          </w:tcPr>
          <w:p>
            <w:pPr>
              <w:pStyle w:val="TableContents"/>
              <w:bidi w:val="0"/>
              <w:spacing w:before="0" w:after="0"/>
              <w:ind w:left="0" w:right="0" w:hanging="0"/>
              <w:jc w:val="center"/>
              <w:rPr/>
            </w:pPr>
            <w:r>
              <w:rPr/>
              <w:t>  ​ ​ ​</w:t>
            </w:r>
          </w:p>
        </w:tc>
        <w:tc>
          <w:tcPr>
            <w:tcW w:w="103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2026</w:t>
            </w:r>
          </w:p>
        </w:tc>
      </w:tr>
      <w:tr>
        <w:trPr/>
        <w:tc>
          <w:tcPr>
            <w:tcW w:w="7672" w:type="dxa"/>
            <w:gridSpan w:val="7"/>
            <w:tcBorders/>
            <w:vAlign w:val="center"/>
          </w:tcPr>
          <w:p>
            <w:pPr>
              <w:pStyle w:val="TableContents"/>
              <w:bidi w:val="0"/>
              <w:spacing w:before="0" w:after="283"/>
              <w:ind w:left="0" w:right="0" w:hanging="0"/>
              <w:jc w:val="left"/>
              <w:rPr>
                <w:sz w:val="4"/>
                <w:szCs w:val="4"/>
              </w:rPr>
            </w:pPr>
            <w:r>
              <w:rPr>
                <w:sz w:val="4"/>
                <w:szCs w:val="4"/>
              </w:rPr>
            </w:r>
          </w:p>
        </w:tc>
      </w:tr>
      <w:tr>
        <w:trPr/>
        <w:tc>
          <w:tcPr>
            <w:tcW w:w="493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2390" w:type="dxa"/>
            <w:gridSpan w:val="5"/>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(unaudited)</w:t>
            </w:r>
          </w:p>
        </w:tc>
      </w:tr>
      <w:tr>
        <w:trPr/>
        <w:tc>
          <w:tcPr>
            <w:tcW w:w="493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Cash flows from operating activities: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96"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826" w:type="dxa"/>
            <w:tcBorders/>
            <w:shd w:fill="CCEEFF" w:val="clear"/>
            <w:vAlign w:val="center"/>
          </w:tcPr>
          <w:p>
            <w:pPr>
              <w:pStyle w:val="TableContents"/>
              <w:bidi w:val="0"/>
              <w:spacing w:before="0" w:after="0"/>
              <w:ind w:left="0" w:right="0" w:hanging="0"/>
              <w:jc w:val="left"/>
              <w:rPr/>
            </w:pPr>
            <w:r>
              <w:rPr/>
              <w:t>​</w:t>
            </w:r>
          </w:p>
        </w:tc>
      </w:tr>
      <w:tr>
        <w:trPr/>
        <w:tc>
          <w:tcPr>
            <w:tcW w:w="493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income</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9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1,322</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826" w:type="dxa"/>
            <w:tcBorders/>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5,094</w:t>
            </w:r>
          </w:p>
        </w:tc>
      </w:tr>
      <w:tr>
        <w:trPr/>
        <w:tc>
          <w:tcPr>
            <w:tcW w:w="493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Depreciation and amortization</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945</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826"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868</w:t>
            </w:r>
          </w:p>
        </w:tc>
      </w:tr>
      <w:tr>
        <w:trPr/>
        <w:tc>
          <w:tcPr>
            <w:tcW w:w="493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Deferred income taxes</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9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(34)</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826" w:type="dxa"/>
            <w:tcBorders/>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1,040</w:t>
            </w:r>
          </w:p>
        </w:tc>
      </w:tr>
      <w:tr>
        <w:trPr/>
        <w:tc>
          <w:tcPr>
            <w:tcW w:w="493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Equity in (earnings) losses of Kronos Worldwide, Inc.</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(5,525)</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826"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1,477</w:t>
            </w:r>
          </w:p>
        </w:tc>
      </w:tr>
      <w:tr>
        <w:trPr/>
        <w:tc>
          <w:tcPr>
            <w:tcW w:w="493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Dividends received from Kronos Worldwide, Inc.</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9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1,761</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826" w:type="dxa"/>
            <w:tcBorders/>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1,761</w:t>
            </w:r>
          </w:p>
        </w:tc>
      </w:tr>
      <w:tr>
        <w:trPr/>
        <w:tc>
          <w:tcPr>
            <w:tcW w:w="493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Marketable equity securities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8,552</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826"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(2,695)</w:t>
            </w:r>
          </w:p>
        </w:tc>
      </w:tr>
      <w:tr>
        <w:trPr/>
        <w:tc>
          <w:tcPr>
            <w:tcW w:w="493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Benefit plan expense greater than cash funding</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9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311</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826" w:type="dxa"/>
            <w:tcBorders/>
            <w:vAlign w:val="center"/>
          </w:tcPr>
          <w:p>
            <w:pPr>
              <w:pStyle w:val="TableContents"/>
              <w:bidi w:val="0"/>
              <w:spacing w:before="0" w:after="0"/>
              <w:ind w:left="0" w:right="0" w:hanging="0"/>
              <w:jc w:val="right"/>
              <w:rPr/>
            </w:pPr>
            <w:r>
              <w:rPr/>
              <w:t>—</w:t>
            </w:r>
          </w:p>
        </w:tc>
      </w:tr>
      <w:tr>
        <w:trPr/>
        <w:tc>
          <w:tcPr>
            <w:tcW w:w="493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Noncash interest expense</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78</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826" w:type="dxa"/>
            <w:tcBorders/>
            <w:shd w:fill="CCEEFF" w:val="clear"/>
            <w:vAlign w:val="center"/>
          </w:tcPr>
          <w:p>
            <w:pPr>
              <w:pStyle w:val="TableContents"/>
              <w:bidi w:val="0"/>
              <w:spacing w:before="0" w:after="0"/>
              <w:ind w:left="0" w:right="0" w:hanging="0"/>
              <w:jc w:val="right"/>
              <w:rPr/>
            </w:pPr>
            <w:r>
              <w:rPr/>
              <w:t>—</w:t>
            </w:r>
          </w:p>
        </w:tc>
      </w:tr>
      <w:tr>
        <w:trPr/>
        <w:tc>
          <w:tcPr>
            <w:tcW w:w="493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 net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9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826" w:type="dxa"/>
            <w:tcBorders/>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21</w:t>
            </w:r>
          </w:p>
        </w:tc>
      </w:tr>
      <w:tr>
        <w:trPr/>
        <w:tc>
          <w:tcPr>
            <w:tcW w:w="493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Change in assets and liabilities: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96" w:type="dxa"/>
            <w:tcBorders/>
            <w:shd w:fill="CCEEFF" w:val="clear"/>
            <w:vAlign w:val="center"/>
          </w:tcPr>
          <w:p>
            <w:pPr>
              <w:pStyle w:val="TableContents"/>
              <w:bidi w:val="0"/>
              <w:spacing w:before="0" w:after="0"/>
              <w:ind w:left="0" w:right="0" w:hanging="0"/>
              <w:jc w:val="right"/>
              <w:rPr/>
            </w:pPr>
            <w:r>
              <w:rPr/>
              <w:t>  ​</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826" w:type="dxa"/>
            <w:tcBorders/>
            <w:shd w:fill="CCEEFF" w:val="clear"/>
            <w:vAlign w:val="center"/>
          </w:tcPr>
          <w:p>
            <w:pPr>
              <w:pStyle w:val="TableContents"/>
              <w:bidi w:val="0"/>
              <w:spacing w:before="0" w:after="0"/>
              <w:ind w:left="0" w:right="0" w:hanging="0"/>
              <w:jc w:val="right"/>
              <w:rPr/>
            </w:pPr>
            <w:r>
              <w:rPr/>
              <w:t>  ​</w:t>
            </w:r>
          </w:p>
        </w:tc>
      </w:tr>
      <w:tr>
        <w:trPr/>
        <w:tc>
          <w:tcPr>
            <w:tcW w:w="493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Accounts and other receivables, net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9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5,601</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826" w:type="dxa"/>
            <w:tcBorders/>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(5,187)</w:t>
            </w:r>
          </w:p>
        </w:tc>
      </w:tr>
      <w:tr>
        <w:trPr/>
        <w:tc>
          <w:tcPr>
            <w:tcW w:w="493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Inventories, net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(863)</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826"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268</w:t>
            </w:r>
          </w:p>
        </w:tc>
      </w:tr>
      <w:tr>
        <w:trPr/>
        <w:tc>
          <w:tcPr>
            <w:tcW w:w="493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Prepaid expenses and other</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9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364</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826" w:type="dxa"/>
            <w:tcBorders/>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186</w:t>
            </w:r>
          </w:p>
        </w:tc>
      </w:tr>
      <w:tr>
        <w:trPr/>
        <w:tc>
          <w:tcPr>
            <w:tcW w:w="493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Accounts payable and accrued liabilities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(3,579)</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826"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(6,604)</w:t>
            </w:r>
          </w:p>
        </w:tc>
      </w:tr>
      <w:tr>
        <w:trPr/>
        <w:tc>
          <w:tcPr>
            <w:tcW w:w="493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Accounts with affiliates</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9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170</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826" w:type="dxa"/>
            <w:tcBorders/>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329</w:t>
            </w:r>
          </w:p>
        </w:tc>
      </w:tr>
      <w:tr>
        <w:trPr/>
        <w:tc>
          <w:tcPr>
            <w:tcW w:w="493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Accrued environmental remediation and related costs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(56,511)</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826"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(71)</w:t>
            </w:r>
          </w:p>
        </w:tc>
      </w:tr>
      <w:tr>
        <w:trPr/>
        <w:tc>
          <w:tcPr>
            <w:tcW w:w="493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 noncurrent assets and liabilities, net</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79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(72)</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82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(29)</w:t>
            </w:r>
          </w:p>
        </w:tc>
      </w:tr>
      <w:tr>
        <w:trPr/>
        <w:tc>
          <w:tcPr>
            <w:tcW w:w="493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cash used in operating activities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9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(47,475)</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82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(3,542)</w:t>
            </w:r>
          </w:p>
        </w:tc>
      </w:tr>
      <w:tr>
        <w:trPr/>
        <w:tc>
          <w:tcPr>
            <w:tcW w:w="493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9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826" w:type="dxa"/>
            <w:tcBorders/>
            <w:vAlign w:val="center"/>
          </w:tcPr>
          <w:p>
            <w:pPr>
              <w:pStyle w:val="TableContents"/>
              <w:bidi w:val="0"/>
              <w:spacing w:before="0" w:after="0"/>
              <w:ind w:left="0" w:right="0" w:hanging="0"/>
              <w:jc w:val="left"/>
              <w:rPr/>
            </w:pPr>
            <w:r>
              <w:rPr/>
              <w:t>​</w:t>
            </w:r>
          </w:p>
        </w:tc>
      </w:tr>
      <w:tr>
        <w:trPr/>
        <w:tc>
          <w:tcPr>
            <w:tcW w:w="493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Cash flows from investing activities: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96" w:type="dxa"/>
            <w:tcBorders/>
            <w:shd w:fill="CCEEFF" w:val="clear"/>
            <w:vAlign w:val="center"/>
          </w:tcPr>
          <w:p>
            <w:pPr>
              <w:pStyle w:val="TableContents"/>
              <w:bidi w:val="0"/>
              <w:spacing w:before="0" w:after="0"/>
              <w:ind w:left="0" w:right="0" w:hanging="0"/>
              <w:jc w:val="right"/>
              <w:rPr/>
            </w:pPr>
            <w:r>
              <w:rPr/>
              <w:t>  ​</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826" w:type="dxa"/>
            <w:tcBorders/>
            <w:shd w:fill="CCEEFF" w:val="clear"/>
            <w:vAlign w:val="center"/>
          </w:tcPr>
          <w:p>
            <w:pPr>
              <w:pStyle w:val="TableContents"/>
              <w:bidi w:val="0"/>
              <w:spacing w:before="0" w:after="0"/>
              <w:ind w:left="0" w:right="0" w:hanging="0"/>
              <w:jc w:val="right"/>
              <w:rPr/>
            </w:pPr>
            <w:r>
              <w:rPr/>
              <w:t>​</w:t>
            </w:r>
          </w:p>
        </w:tc>
      </w:tr>
      <w:tr>
        <w:trPr/>
        <w:tc>
          <w:tcPr>
            <w:tcW w:w="493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Capital expenditures</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9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(822)</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826" w:type="dxa"/>
            <w:tcBorders/>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(404)</w:t>
            </w:r>
          </w:p>
        </w:tc>
      </w:tr>
      <w:tr>
        <w:trPr/>
        <w:tc>
          <w:tcPr>
            <w:tcW w:w="493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Note receivable from affiliate:</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96" w:type="dxa"/>
            <w:tcBorders/>
            <w:shd w:fill="CCEEFF" w:val="clear"/>
            <w:vAlign w:val="center"/>
          </w:tcPr>
          <w:p>
            <w:pPr>
              <w:pStyle w:val="TableContents"/>
              <w:bidi w:val="0"/>
              <w:spacing w:before="0" w:after="0"/>
              <w:ind w:left="0" w:right="0" w:hanging="0"/>
              <w:jc w:val="right"/>
              <w:rPr/>
            </w:pPr>
            <w:r>
              <w:rPr/>
              <w:t>  ​</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826" w:type="dxa"/>
            <w:tcBorders/>
            <w:shd w:fill="CCEEFF" w:val="clear"/>
            <w:vAlign w:val="center"/>
          </w:tcPr>
          <w:p>
            <w:pPr>
              <w:pStyle w:val="TableContents"/>
              <w:bidi w:val="0"/>
              <w:spacing w:before="0" w:after="0"/>
              <w:ind w:left="0" w:right="0" w:hanging="0"/>
              <w:jc w:val="right"/>
              <w:rPr/>
            </w:pPr>
            <w:r>
              <w:rPr/>
              <w:t>​</w:t>
            </w:r>
          </w:p>
        </w:tc>
      </w:tr>
      <w:tr>
        <w:trPr/>
        <w:tc>
          <w:tcPr>
            <w:tcW w:w="493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Collections</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9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500</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826" w:type="dxa"/>
            <w:tcBorders/>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3,700</w:t>
            </w:r>
          </w:p>
        </w:tc>
      </w:tr>
      <w:tr>
        <w:trPr/>
        <w:tc>
          <w:tcPr>
            <w:tcW w:w="493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Loans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(500)</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826"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(3,100)</w:t>
            </w:r>
          </w:p>
        </w:tc>
      </w:tr>
      <w:tr>
        <w:trPr/>
        <w:tc>
          <w:tcPr>
            <w:tcW w:w="493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9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826"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r>
      <w:tr>
        <w:trPr/>
        <w:tc>
          <w:tcPr>
            <w:tcW w:w="493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cash provided by (used in) investing activities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9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(812)</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82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196</w:t>
            </w:r>
          </w:p>
        </w:tc>
      </w:tr>
      <w:tr>
        <w:trPr/>
        <w:tc>
          <w:tcPr>
            <w:tcW w:w="493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9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826" w:type="dxa"/>
            <w:tcBorders/>
            <w:vAlign w:val="center"/>
          </w:tcPr>
          <w:p>
            <w:pPr>
              <w:pStyle w:val="TableContents"/>
              <w:bidi w:val="0"/>
              <w:spacing w:before="0" w:after="0"/>
              <w:ind w:left="0" w:right="0" w:hanging="0"/>
              <w:jc w:val="left"/>
              <w:rPr/>
            </w:pPr>
            <w:r>
              <w:rPr/>
              <w:t>​</w:t>
            </w:r>
          </w:p>
        </w:tc>
      </w:tr>
      <w:tr>
        <w:trPr/>
        <w:tc>
          <w:tcPr>
            <w:tcW w:w="493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Cash flows from financing activities: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96" w:type="dxa"/>
            <w:tcBorders/>
            <w:shd w:fill="CCEEFF" w:val="clear"/>
            <w:vAlign w:val="center"/>
          </w:tcPr>
          <w:p>
            <w:pPr>
              <w:pStyle w:val="TableContents"/>
              <w:bidi w:val="0"/>
              <w:spacing w:before="0" w:after="0"/>
              <w:ind w:left="0" w:right="0" w:hanging="0"/>
              <w:jc w:val="right"/>
              <w:rPr/>
            </w:pPr>
            <w:r>
              <w:rPr/>
              <w:t>  ​</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826" w:type="dxa"/>
            <w:tcBorders/>
            <w:shd w:fill="CCEEFF" w:val="clear"/>
            <w:vAlign w:val="center"/>
          </w:tcPr>
          <w:p>
            <w:pPr>
              <w:pStyle w:val="TableContents"/>
              <w:bidi w:val="0"/>
              <w:spacing w:before="0" w:after="0"/>
              <w:ind w:left="0" w:right="0" w:hanging="0"/>
              <w:jc w:val="right"/>
              <w:rPr/>
            </w:pPr>
            <w:r>
              <w:rPr/>
              <w:t>​</w:t>
            </w:r>
          </w:p>
        </w:tc>
      </w:tr>
      <w:tr>
        <w:trPr/>
        <w:tc>
          <w:tcPr>
            <w:tcW w:w="493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Dividends paid</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9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(4,396)</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826" w:type="dxa"/>
            <w:tcBorders/>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(4,886)</w:t>
            </w:r>
          </w:p>
        </w:tc>
      </w:tr>
      <w:tr>
        <w:trPr/>
        <w:tc>
          <w:tcPr>
            <w:tcW w:w="493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Dividends paid to noncontrolling interests in subsidiary</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9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(468)</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82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(470)</w:t>
            </w:r>
          </w:p>
        </w:tc>
      </w:tr>
      <w:tr>
        <w:trPr/>
        <w:tc>
          <w:tcPr>
            <w:tcW w:w="493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cash used in financing activities</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79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(4,864)</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82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(5,356)</w:t>
            </w:r>
          </w:p>
        </w:tc>
      </w:tr>
      <w:tr>
        <w:trPr/>
        <w:tc>
          <w:tcPr>
            <w:tcW w:w="4936"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96"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826" w:type="dxa"/>
            <w:tcBorders/>
            <w:shd w:fill="CCEEFF" w:val="clear"/>
            <w:vAlign w:val="center"/>
          </w:tcPr>
          <w:p>
            <w:pPr>
              <w:pStyle w:val="TableContents"/>
              <w:bidi w:val="0"/>
              <w:spacing w:before="0" w:after="0"/>
              <w:ind w:left="0" w:right="0" w:hanging="0"/>
              <w:jc w:val="left"/>
              <w:rPr/>
            </w:pPr>
            <w:r>
              <w:rPr/>
              <w:t>​</w:t>
            </w:r>
          </w:p>
        </w:tc>
      </w:tr>
      <w:tr>
        <w:trPr/>
        <w:tc>
          <w:tcPr>
            <w:tcW w:w="493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Cash and cash equivalents and restricted cash and cash </w:t>
              <w:br/>
              <w:t>  equivalents - net change from:</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9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826" w:type="dxa"/>
            <w:tcBorders/>
            <w:vAlign w:val="center"/>
          </w:tcPr>
          <w:p>
            <w:pPr>
              <w:pStyle w:val="TableContents"/>
              <w:bidi w:val="0"/>
              <w:spacing w:before="0" w:after="0"/>
              <w:ind w:left="0" w:right="0" w:hanging="0"/>
              <w:jc w:val="left"/>
              <w:rPr/>
            </w:pPr>
            <w:r>
              <w:rPr/>
              <w:t>​</w:t>
            </w:r>
          </w:p>
        </w:tc>
      </w:tr>
      <w:tr>
        <w:trPr/>
        <w:tc>
          <w:tcPr>
            <w:tcW w:w="493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Operating, investing and financing activities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(53,151)</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826"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(8,702)</w:t>
            </w:r>
          </w:p>
        </w:tc>
      </w:tr>
      <w:tr>
        <w:trPr/>
        <w:tc>
          <w:tcPr>
            <w:tcW w:w="493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Balance at beginning of period</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79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184,190</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82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114,053</w:t>
            </w:r>
          </w:p>
        </w:tc>
      </w:tr>
      <w:tr>
        <w:trPr/>
        <w:tc>
          <w:tcPr>
            <w:tcW w:w="4936"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9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826" w:type="dxa"/>
            <w:tcBorders/>
            <w:shd w:fill="CCEEFF" w:val="clear"/>
            <w:vAlign w:val="center"/>
          </w:tcPr>
          <w:p>
            <w:pPr>
              <w:pStyle w:val="TableContents"/>
              <w:bidi w:val="0"/>
              <w:spacing w:before="0" w:after="0"/>
              <w:ind w:left="0" w:right="0" w:hanging="0"/>
              <w:jc w:val="right"/>
              <w:rPr/>
            </w:pPr>
            <w:r>
              <w:rPr/>
              <w:t>​</w:t>
            </w:r>
          </w:p>
        </w:tc>
      </w:tr>
      <w:tr>
        <w:trPr/>
        <w:tc>
          <w:tcPr>
            <w:tcW w:w="493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Balance at end of period</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9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131,039</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82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105,351</w:t>
            </w:r>
          </w:p>
        </w:tc>
      </w:tr>
      <w:tr>
        <w:trPr/>
        <w:tc>
          <w:tcPr>
            <w:tcW w:w="4936"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96"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826" w:type="dxa"/>
            <w:tcBorders/>
            <w:shd w:fill="CCEEFF" w:val="clear"/>
            <w:vAlign w:val="center"/>
          </w:tcPr>
          <w:p>
            <w:pPr>
              <w:pStyle w:val="TableContents"/>
              <w:bidi w:val="0"/>
              <w:spacing w:before="0" w:after="0"/>
              <w:ind w:left="0" w:right="0" w:hanging="0"/>
              <w:jc w:val="left"/>
              <w:rPr/>
            </w:pPr>
            <w:r>
              <w:rPr/>
              <w:t>​</w:t>
            </w:r>
          </w:p>
        </w:tc>
      </w:tr>
      <w:tr>
        <w:trPr/>
        <w:tc>
          <w:tcPr>
            <w:tcW w:w="493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Supplemental disclosures:</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96" w:type="dxa"/>
            <w:tcBorders/>
            <w:vAlign w:val="center"/>
          </w:tcPr>
          <w:p>
            <w:pPr>
              <w:pStyle w:val="TableContents"/>
              <w:bidi w:val="0"/>
              <w:spacing w:before="0" w:after="0"/>
              <w:ind w:left="0" w:right="0" w:hanging="0"/>
              <w:jc w:val="right"/>
              <w:rPr/>
            </w:pPr>
            <w:r>
              <w:rPr/>
              <w:t>  ​</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826" w:type="dxa"/>
            <w:tcBorders/>
            <w:vAlign w:val="center"/>
          </w:tcPr>
          <w:p>
            <w:pPr>
              <w:pStyle w:val="TableContents"/>
              <w:bidi w:val="0"/>
              <w:spacing w:before="0" w:after="0"/>
              <w:ind w:left="0" w:right="0" w:hanging="0"/>
              <w:jc w:val="right"/>
              <w:rPr/>
            </w:pPr>
            <w:r>
              <w:rPr/>
              <w:t>  ​</w:t>
            </w:r>
          </w:p>
        </w:tc>
      </w:tr>
      <w:tr>
        <w:trPr/>
        <w:tc>
          <w:tcPr>
            <w:tcW w:w="493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Cash paid for interest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497</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826"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11</w:t>
            </w:r>
          </w:p>
        </w:tc>
      </w:tr>
      <w:tr>
        <w:trPr/>
        <w:tc>
          <w:tcPr>
            <w:tcW w:w="493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Noncash investing and financing activities:</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96" w:type="dxa"/>
            <w:tcBorders/>
            <w:vAlign w:val="center"/>
          </w:tcPr>
          <w:p>
            <w:pPr>
              <w:pStyle w:val="TableContents"/>
              <w:bidi w:val="0"/>
              <w:spacing w:before="0" w:after="0"/>
              <w:ind w:left="0" w:right="0" w:hanging="0"/>
              <w:jc w:val="right"/>
              <w:rPr/>
            </w:pPr>
            <w:r>
              <w:rPr/>
              <w:t>  ​</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826" w:type="dxa"/>
            <w:tcBorders/>
            <w:vAlign w:val="center"/>
          </w:tcPr>
          <w:p>
            <w:pPr>
              <w:pStyle w:val="TableContents"/>
              <w:bidi w:val="0"/>
              <w:spacing w:before="0" w:after="0"/>
              <w:ind w:left="0" w:right="0" w:hanging="0"/>
              <w:jc w:val="right"/>
              <w:rPr/>
            </w:pPr>
            <w:r>
              <w:rPr/>
              <w:t>  ​</w:t>
            </w:r>
          </w:p>
        </w:tc>
      </w:tr>
      <w:tr>
        <w:trPr/>
        <w:tc>
          <w:tcPr>
            <w:tcW w:w="493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Change in accruals for capital expenditures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(352)</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826"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208</w:t>
            </w:r>
          </w:p>
        </w:tc>
      </w:tr>
      <w:tr>
        <w:trPr/>
        <w:tc>
          <w:tcPr>
            <w:tcW w:w="493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Right-of-use asset obtained in exchange for a lease liability</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9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826" w:type="dxa"/>
            <w:tcBorders/>
            <w:vAlign w:val="center"/>
          </w:tcPr>
          <w:p>
            <w:pPr>
              <w:pStyle w:val="TableContents"/>
              <w:bidi w:val="0"/>
              <w:spacing w:before="0" w:after="0"/>
              <w:ind w:left="0" w:right="60" w:hanging="0"/>
              <w:jc w:val="right"/>
              <w:rPr>
                <w:rFonts w:ascii="Times New Roman;Times;serif" w:hAnsi="Times New Roman;Times;serif"/>
                <w:b/>
                <w:sz w:val="20"/>
              </w:rPr>
            </w:pPr>
            <w:r>
              <w:rPr>
                <w:rFonts w:ascii="Times New Roman;Times;serif" w:hAnsi="Times New Roman;Times;serif"/>
                <w:b/>
                <w:sz w:val="20"/>
              </w:rPr>
              <w:t>1,014</w:t>
            </w:r>
          </w:p>
        </w:tc>
      </w:tr>
    </w:tbl>
    <w:p>
      <w:pPr>
        <w:pStyle w:val="TextBody"/>
        <w:bidi w:val="0"/>
        <w:spacing w:before="0" w:after="0"/>
        <w:ind w:left="0" w:right="0" w:hanging="0"/>
        <w:jc w:val="left"/>
        <w:rPr/>
      </w:pPr>
      <w:r>
        <w:rPr/>
        <w:t>​</w:t>
      </w:r>
    </w:p>
    <w:p>
      <w:pPr>
        <w:pStyle w:val="TextBody"/>
        <w:bidi w:val="0"/>
        <w:spacing w:lineRule="atLeast" w:line="142" w:before="120" w:after="0"/>
        <w:ind w:left="0" w:right="0" w:hanging="0"/>
        <w:jc w:val="center"/>
        <w:rPr/>
      </w:pPr>
      <w:r>
        <w:rPr/>
        <w:t>​</w:t>
      </w:r>
    </w:p>
    <w:p>
      <w:pPr>
        <w:pStyle w:val="TextBody"/>
        <w:bidi w:val="0"/>
        <w:spacing w:lineRule="atLeast" w:line="142" w:before="120" w:after="0"/>
        <w:ind w:left="0" w:right="0" w:hanging="0"/>
        <w:jc w:val="center"/>
        <w:rPr>
          <w:rFonts w:ascii="Times New Roman;Times;serif" w:hAnsi="Times New Roman;Times;serif"/>
          <w:sz w:val="20"/>
        </w:rPr>
      </w:pPr>
      <w:r>
        <w:rPr>
          <w:rFonts w:ascii="Times New Roman;Times;serif" w:hAnsi="Times New Roman;Times;serif"/>
          <w:sz w:val="20"/>
        </w:rPr>
        <w:t>See accompanying Notes to Condensed Consolidated Financial Statements.</w:t>
      </w:r>
    </w:p>
    <w:p>
      <w:pPr>
        <w:pStyle w:val="TextBody"/>
        <w:bidi w:val="0"/>
        <w:spacing w:lineRule="atLeast" w:line="142" w:before="0" w:after="0"/>
        <w:ind w:left="0" w:right="0" w:hanging="0"/>
        <w:jc w:val="center"/>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8</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120"/>
        <w:ind w:left="0" w:right="0" w:hanging="0"/>
        <w:jc w:val="center"/>
        <w:rPr>
          <w:rFonts w:ascii="Times New Roman;Times;serif" w:hAnsi="Times New Roman;Times;serif"/>
          <w:b/>
          <w:sz w:val="20"/>
        </w:rPr>
      </w:pPr>
      <w:bookmarkStart w:id="577" w:name="_5b2c7b10_dc9d_405d_acbd_ad3a97342eb0"/>
      <w:bookmarkEnd w:id="577"/>
      <w:r>
        <w:rPr>
          <w:rFonts w:ascii="Times New Roman;Times;serif" w:hAnsi="Times New Roman;Times;serif"/>
          <w:b/>
          <w:sz w:val="20"/>
        </w:rPr>
        <w:t>NL INDUSTRIES, INC. AND SUBSIDIARIES</w:t>
      </w:r>
    </w:p>
    <w:p>
      <w:pPr>
        <w:pStyle w:val="TextBody"/>
        <w:bidi w:val="0"/>
        <w:spacing w:before="0" w:after="120"/>
        <w:ind w:left="0" w:right="0" w:hanging="0"/>
        <w:jc w:val="center"/>
        <w:rPr>
          <w:rFonts w:ascii="Times New Roman;Times;serif" w:hAnsi="Times New Roman;Times;serif"/>
          <w:b/>
          <w:sz w:val="20"/>
        </w:rPr>
      </w:pPr>
      <w:bookmarkStart w:id="578" w:name="NOTESTOCONDENSEDCONSOLIDATEDFINANCIALSTA"/>
      <w:bookmarkEnd w:id="578"/>
      <w:r>
        <w:rPr>
          <w:rFonts w:ascii="Times New Roman;Times;serif" w:hAnsi="Times New Roman;Times;serif"/>
          <w:b/>
          <w:sz w:val="20"/>
        </w:rPr>
        <w:t>NOTES TO CONDENSED CONSOLIDATED FINANCIAL STATEMENTS</w:t>
      </w:r>
    </w:p>
    <w:p>
      <w:pPr>
        <w:pStyle w:val="TextBody"/>
        <w:bidi w:val="0"/>
        <w:spacing w:before="0" w:after="120"/>
        <w:ind w:left="0" w:right="0" w:hanging="0"/>
        <w:jc w:val="center"/>
        <w:rPr>
          <w:rFonts w:ascii="Times New Roman;Times;serif" w:hAnsi="Times New Roman;Times;serif"/>
          <w:b/>
          <w:sz w:val="20"/>
        </w:rPr>
      </w:pPr>
      <w:r>
        <w:rPr>
          <w:rFonts w:ascii="Times New Roman;Times;serif" w:hAnsi="Times New Roman;Times;serif"/>
          <w:b/>
          <w:sz w:val="20"/>
        </w:rPr>
        <w:t>March 31, 2026</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(unaudited)</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Note 1 – Organization and basis of presentation:</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b/>
          <w:i/>
          <w:sz w:val="20"/>
        </w:rPr>
        <w:t>Organization </w:t>
      </w:r>
      <w:r>
        <w:rPr>
          <w:rFonts w:ascii="Times New Roman;Times;serif" w:hAnsi="Times New Roman;Times;serif"/>
          <w:sz w:val="20"/>
        </w:rPr>
        <w:t>– At March 31, 2026, Valhi, Inc. (NYSE: VHI) held approximately 83% of our outstanding common stock and a wholly-owned subsidiary of Contran Corporation held approximately 91% of Valhi’s outstanding common stock. A majority of Contran’s outstanding voting stock is held directly by Lisa K. Simmons and by family stockholders (Thomas C. Connelly (the husband of Ms. Simmons’ late sister), a family-owned entity and various family trusts established for the benefit of Ms. Simmons, Mr. Connelly and their children) who are required to vote their shares of Contran voting stock in the same manner as Ms. Simmons. Such voting rights are personal to Ms. Simmons and last through April 22, 2030. The remainder of Contran’s outstanding voting stock is held by another trust (the “Family Trust”), which was established for the benefit of Ms. Simmons and her late sister and their children and for which a third-party financial institution serves as trustee. Consequently, at March 31, 2026, Ms. Simmons and the Family Trust may be deemed to control Contran, and therefore may be deemed to indirectly control the wholly-owned subsidiary of Contran, Valhi and us.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b/>
          <w:i/>
          <w:sz w:val="20"/>
        </w:rPr>
        <w:t>Basis of presentation </w:t>
      </w:r>
      <w:r>
        <w:rPr>
          <w:rFonts w:ascii="Times New Roman;Times;serif" w:hAnsi="Times New Roman;Times;serif"/>
          <w:sz w:val="20"/>
        </w:rPr>
        <w:t>– Consolidated in this Quarterly Report are the results of our majority-owned subsidiary, CompX International Inc. We also own approximately 31% of Kronos Worldwide, Inc. (“Kronos”). CompX (NYSE American: CIX) and Kronos (NYSE: KRO) each file periodic reports with the Securities and Exchange Commission (“SEC”).</w:t>
      </w:r>
    </w:p>
    <w:p>
      <w:pPr>
        <w:pStyle w:val="TextBody"/>
        <w:bidi w:val="0"/>
        <w:spacing w:before="0" w:after="200"/>
        <w:ind w:left="0" w:right="0" w:firstLine="720"/>
        <w:jc w:val="both"/>
        <w:rPr>
          <w:rFonts w:ascii="Times New Roman;Times;serif" w:hAnsi="Times New Roman;Times;serif"/>
          <w:sz w:val="20"/>
        </w:rPr>
      </w:pPr>
      <w:r>
        <w:rPr>
          <w:rFonts w:ascii="Times New Roman;Times;serif" w:hAnsi="Times New Roman;Times;serif"/>
          <w:sz w:val="20"/>
        </w:rPr>
        <w:t>The unaudited Condensed Consolidated Financial Statements contained in this Quarterly Report have been prepared on the same basis as the audited Consolidated Financial Statements in our Annual Report on Form 10-K for the year ended December 31, 2025 that we filed with the SEC on March 9, 2026 (the “2025 Annual Report”). In our opinion, we have made all necessary adjustments (which include only normal recurring adjustments) in order to state fairly, in all material respects, our consolidated financial position, results of operations and cash flows as of the dates and for the periods presented. We have condensed the Consolidated Balance Sheet at December 31, 2025 contained in this Quarterly Report as compared to our audited Consolidated Financial Statements at that date, and we have omitted certain information and footnote disclosures (including those related to the Consolidated Balance Sheet at December 31, 2025) normally included in financial statements prepared in accordance with accounting principles generally accepted in the United States of America (“GAAP”). Our results of operations for the interim period ended March 31, 2026 may not be indicative of our operating results for the full year. The Condensed Consolidated Financial Statements contained in this Quarterly Report should be read in conjunction with our 2025 Consolidated Financial Statements contained in our 2025 Annual Report.</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Unless otherwise indicated, references in this report to “NL,” “we,” “us” or “our” refer to NL Industries, Inc. and its subsidiaries and affiliate, Kronos, taken as a whole.</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9</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sz w:val="20"/>
        </w:rPr>
      </w:pPr>
      <w:bookmarkStart w:id="579" w:name="Tc_l4UtB19qTEOHFKxanvSKJQ_14_5"/>
      <w:bookmarkStart w:id="580" w:name="Tc_ptdP3vcJIUifamm588gIAg_14_2"/>
      <w:bookmarkStart w:id="581" w:name="Tc_WPFd8v-AME6mYXLYDDV_Lw_14_0"/>
      <w:bookmarkStart w:id="582" w:name="Tc_8UJpkTBBCUGltNTHK27vYw_13_0"/>
      <w:bookmarkStart w:id="583" w:name="Tc_kzeZuOCyX0eu7UivSjwEBQ_12_0"/>
      <w:bookmarkStart w:id="584" w:name="Tc_hIwoP5JuFkOut9kZiusshg_11_6"/>
      <w:bookmarkStart w:id="585" w:name="Tc_9UYfeEs5jECSfck0x5dCIQ_11_0"/>
      <w:bookmarkStart w:id="586" w:name="Tc_4FXG44VlDEW0xgenGxotlQ_10_0"/>
      <w:bookmarkStart w:id="587" w:name="Tc_A_fKm99BO06-uLu7wfxioQ_9_0"/>
      <w:bookmarkStart w:id="588" w:name="Tc_Uqp6dKnClEC2KhKIiu-eGQ_8_0"/>
      <w:bookmarkStart w:id="589" w:name="Tc_QUYYWXDZC0ipNTthD7DvAw_7_0"/>
      <w:bookmarkStart w:id="590" w:name="Tc_oLwhB54IqUiAafWsU51rNg_6_0"/>
      <w:bookmarkStart w:id="591" w:name="Tc_nNOyEjSniEOCgoIcupSZUQ_4_5"/>
      <w:bookmarkStart w:id="592" w:name="Tc_H8Fqux0uUE-9qxmmuE8_pw_4_2"/>
      <w:bookmarkStart w:id="593" w:name="Tc_V9GupDPXXUWeU1XZziUZeQ_4_0"/>
      <w:bookmarkStart w:id="594" w:name="Tc_180lCaQLqESyG8-2M2VFqw_3_2"/>
      <w:bookmarkStart w:id="595" w:name="Tc_oXKtY-xEWkCQ2wkUffiBbQ_2_5"/>
      <w:bookmarkStart w:id="596" w:name="Tc_FPNz6J5-qEqjnX_JPBa2ew_2_2"/>
      <w:bookmarkStart w:id="597" w:name="Tc_ylnJSQsVGkmgLF_XfiuSww_1_2"/>
      <w:bookmarkEnd w:id="579"/>
      <w:bookmarkEnd w:id="580"/>
      <w:bookmarkEnd w:id="581"/>
      <w:bookmarkEnd w:id="582"/>
      <w:bookmarkEnd w:id="583"/>
      <w:bookmarkEnd w:id="584"/>
      <w:bookmarkEnd w:id="585"/>
      <w:bookmarkEnd w:id="586"/>
      <w:bookmarkEnd w:id="587"/>
      <w:bookmarkEnd w:id="588"/>
      <w:bookmarkEnd w:id="589"/>
      <w:bookmarkEnd w:id="590"/>
      <w:bookmarkEnd w:id="591"/>
      <w:bookmarkEnd w:id="592"/>
      <w:bookmarkEnd w:id="593"/>
      <w:bookmarkEnd w:id="594"/>
      <w:bookmarkEnd w:id="595"/>
      <w:bookmarkEnd w:id="596"/>
      <w:bookmarkEnd w:id="597"/>
      <w:r>
        <w:rPr>
          <w:rFonts w:ascii="Times New Roman;Times;serif" w:hAnsi="Times New Roman;Times;serif"/>
          <w:b/>
          <w:sz w:val="20"/>
        </w:rPr>
        <w:t>Note 2 – Segment information:</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 xml:space="preserve">Our chief operating decision maker (“CODM”) evaluates segment performance based on net income and segment profit (a non-GAAP measure), which we define as gross margin less selling, general and administrative expenses directly attributable to CompX. </w:t>
      </w:r>
      <w:r>
        <w:rPr>
          <w:rFonts w:ascii="Times New Roman;Times;serif" w:hAnsi="Times New Roman;Times;serif"/>
          <w:sz w:val="20"/>
          <w:shd w:fill="FFFFFF" w:val="clear"/>
        </w:rPr>
        <w:t xml:space="preserve">Differences between segment profit and the amounts included in net income (loss) are included in the table below. Substantially all </w:t>
      </w:r>
      <w:r>
        <w:rPr>
          <w:rFonts w:ascii="Times New Roman;Times;serif" w:hAnsi="Times New Roman;Times;serif"/>
          <w:color w:val="212529"/>
          <w:sz w:val="20"/>
        </w:rPr>
        <w:t xml:space="preserve">depreciation and amortization amounts are included in the calculation of segment profit. </w:t>
      </w:r>
    </w:p>
    <w:p>
      <w:pPr>
        <w:pStyle w:val="TextBody"/>
        <w:bidi w:val="0"/>
        <w:spacing w:before="0" w:after="0"/>
        <w:ind w:left="0" w:right="0" w:hanging="0"/>
        <w:jc w:val="left"/>
        <w:rPr/>
      </w:pPr>
      <w:r>
        <w:rPr/>
        <w:t>​</w:t>
      </w:r>
    </w:p>
    <w:tbl>
      <w:tblPr>
        <w:tblW w:w="7904" w:type="dxa"/>
        <w:jc w:val="left"/>
        <w:tblInd w:w="0" w:type="dxa"/>
        <w:tblLayout w:type="fixed"/>
        <w:tblCellMar>
          <w:top w:w="0" w:type="dxa"/>
          <w:left w:w="0" w:type="dxa"/>
          <w:bottom w:w="0" w:type="dxa"/>
          <w:right w:w="0" w:type="dxa"/>
        </w:tblCellMar>
      </w:tblPr>
      <w:tblGrid>
        <w:gridCol w:w="4786"/>
        <w:gridCol w:w="346"/>
        <w:gridCol w:w="266"/>
        <w:gridCol w:w="873"/>
        <w:gridCol w:w="437"/>
        <w:gridCol w:w="266"/>
        <w:gridCol w:w="930"/>
      </w:tblGrid>
      <w:tr>
        <w:trPr/>
        <w:tc>
          <w:tcPr>
            <w:tcW w:w="47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9">
                      <wp:simplePos x="0" y="0"/>
                      <wp:positionH relativeFrom="character">
                        <wp:align>left</wp:align>
                      </wp:positionH>
                      <wp:positionV relativeFrom="line">
                        <wp:posOffset>635</wp:posOffset>
                      </wp:positionV>
                      <wp:extent cx="3039110" cy="175260"/>
                      <wp:effectExtent l="0" t="0" r="0" b="0"/>
                      <wp:wrapNone/>
                      <wp:docPr id="58" name="Frame58"/>
                      <a:graphic xmlns:a="http://schemas.openxmlformats.org/drawingml/2006/main">
                        <a:graphicData uri="http://schemas.microsoft.com/office/word/2010/wordprocessingShape">
                          <wps:wsp>
                            <wps:cNvSpPr txBox="1"/>
                            <wps:spPr>
                              <a:xfrm>
                                <a:off x="0" y="0"/>
                                <a:ext cx="30391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39.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0">
                      <wp:simplePos x="0" y="0"/>
                      <wp:positionH relativeFrom="character">
                        <wp:align>left</wp:align>
                      </wp:positionH>
                      <wp:positionV relativeFrom="line">
                        <wp:posOffset>635</wp:posOffset>
                      </wp:positionV>
                      <wp:extent cx="219710" cy="175260"/>
                      <wp:effectExtent l="0" t="0" r="0" b="0"/>
                      <wp:wrapNone/>
                      <wp:docPr id="59" name="Frame59"/>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1">
                      <wp:simplePos x="0" y="0"/>
                      <wp:positionH relativeFrom="character">
                        <wp:align>left</wp:align>
                      </wp:positionH>
                      <wp:positionV relativeFrom="line">
                        <wp:posOffset>635</wp:posOffset>
                      </wp:positionV>
                      <wp:extent cx="168910" cy="175260"/>
                      <wp:effectExtent l="0" t="0" r="0" b="0"/>
                      <wp:wrapNone/>
                      <wp:docPr id="60" name="Frame60"/>
                      <a:graphic xmlns:a="http://schemas.openxmlformats.org/drawingml/2006/main">
                        <a:graphicData uri="http://schemas.microsoft.com/office/word/2010/wordprocessingShape">
                          <wps:wsp>
                            <wps:cNvSpPr txBox="1"/>
                            <wps:spPr>
                              <a:xfrm>
                                <a:off x="0" y="0"/>
                                <a:ext cx="1689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7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2">
                      <wp:simplePos x="0" y="0"/>
                      <wp:positionH relativeFrom="character">
                        <wp:align>left</wp:align>
                      </wp:positionH>
                      <wp:positionV relativeFrom="line">
                        <wp:posOffset>635</wp:posOffset>
                      </wp:positionV>
                      <wp:extent cx="554355" cy="175260"/>
                      <wp:effectExtent l="0" t="0" r="0" b="0"/>
                      <wp:wrapNone/>
                      <wp:docPr id="61" name="Frame61"/>
                      <a:graphic xmlns:a="http://schemas.openxmlformats.org/drawingml/2006/main">
                        <a:graphicData uri="http://schemas.microsoft.com/office/word/2010/wordprocessingShape">
                          <wps:wsp>
                            <wps:cNvSpPr txBox="1"/>
                            <wps:spPr>
                              <a:xfrm>
                                <a:off x="0" y="0"/>
                                <a:ext cx="55435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3.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3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3">
                      <wp:simplePos x="0" y="0"/>
                      <wp:positionH relativeFrom="character">
                        <wp:align>left</wp:align>
                      </wp:positionH>
                      <wp:positionV relativeFrom="line">
                        <wp:posOffset>635</wp:posOffset>
                      </wp:positionV>
                      <wp:extent cx="277495" cy="175260"/>
                      <wp:effectExtent l="0" t="0" r="0" b="0"/>
                      <wp:wrapNone/>
                      <wp:docPr id="62" name="Frame62"/>
                      <a:graphic xmlns:a="http://schemas.openxmlformats.org/drawingml/2006/main">
                        <a:graphicData uri="http://schemas.microsoft.com/office/word/2010/wordprocessingShape">
                          <wps:wsp>
                            <wps:cNvSpPr txBox="1"/>
                            <wps:spPr>
                              <a:xfrm>
                                <a:off x="0" y="0"/>
                                <a:ext cx="27749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1.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4">
                      <wp:simplePos x="0" y="0"/>
                      <wp:positionH relativeFrom="character">
                        <wp:align>left</wp:align>
                      </wp:positionH>
                      <wp:positionV relativeFrom="line">
                        <wp:posOffset>635</wp:posOffset>
                      </wp:positionV>
                      <wp:extent cx="168910" cy="175260"/>
                      <wp:effectExtent l="0" t="0" r="0" b="0"/>
                      <wp:wrapNone/>
                      <wp:docPr id="63" name="Frame63"/>
                      <a:graphic xmlns:a="http://schemas.openxmlformats.org/drawingml/2006/main">
                        <a:graphicData uri="http://schemas.microsoft.com/office/word/2010/wordprocessingShape">
                          <wps:wsp>
                            <wps:cNvSpPr txBox="1"/>
                            <wps:spPr>
                              <a:xfrm>
                                <a:off x="0" y="0"/>
                                <a:ext cx="1689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3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5">
                      <wp:simplePos x="0" y="0"/>
                      <wp:positionH relativeFrom="character">
                        <wp:align>left</wp:align>
                      </wp:positionH>
                      <wp:positionV relativeFrom="line">
                        <wp:posOffset>635</wp:posOffset>
                      </wp:positionV>
                      <wp:extent cx="590550" cy="175260"/>
                      <wp:effectExtent l="0" t="0" r="0" b="0"/>
                      <wp:wrapNone/>
                      <wp:docPr id="64" name="Frame64"/>
                      <a:graphic xmlns:a="http://schemas.openxmlformats.org/drawingml/2006/main">
                        <a:graphicData uri="http://schemas.microsoft.com/office/word/2010/wordprocessingShape">
                          <wps:wsp>
                            <wps:cNvSpPr txBox="1"/>
                            <wps:spPr>
                              <a:xfrm>
                                <a:off x="0" y="0"/>
                                <a:ext cx="59055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478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2772"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Three months ended March 31,</w:t>
            </w:r>
          </w:p>
        </w:tc>
      </w:tr>
      <w:tr>
        <w:trPr/>
        <w:tc>
          <w:tcPr>
            <w:tcW w:w="478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  ​ ​ ​</w:t>
            </w:r>
          </w:p>
        </w:tc>
        <w:tc>
          <w:tcPr>
            <w:tcW w:w="113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2025</w:t>
            </w:r>
          </w:p>
        </w:tc>
        <w:tc>
          <w:tcPr>
            <w:tcW w:w="437" w:type="dxa"/>
            <w:tcBorders/>
            <w:vAlign w:val="center"/>
          </w:tcPr>
          <w:p>
            <w:pPr>
              <w:pStyle w:val="TableContents"/>
              <w:bidi w:val="0"/>
              <w:spacing w:before="0" w:after="0"/>
              <w:ind w:left="0" w:right="0" w:hanging="0"/>
              <w:jc w:val="left"/>
              <w:rPr/>
            </w:pPr>
            <w:r>
              <w:rPr/>
              <w:t>  ​ ​ ​</w:t>
            </w:r>
          </w:p>
        </w:tc>
        <w:tc>
          <w:tcPr>
            <w:tcW w:w="119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2026</w:t>
            </w:r>
          </w:p>
        </w:tc>
      </w:tr>
      <w:tr>
        <w:trPr/>
        <w:tc>
          <w:tcPr>
            <w:tcW w:w="7904" w:type="dxa"/>
            <w:gridSpan w:val="7"/>
            <w:tcBorders/>
            <w:vAlign w:val="center"/>
          </w:tcPr>
          <w:p>
            <w:pPr>
              <w:pStyle w:val="TableContents"/>
              <w:bidi w:val="0"/>
              <w:spacing w:before="0" w:after="283"/>
              <w:ind w:left="0" w:right="0" w:hanging="0"/>
              <w:jc w:val="left"/>
              <w:rPr>
                <w:sz w:val="4"/>
                <w:szCs w:val="4"/>
              </w:rPr>
            </w:pPr>
            <w:r>
              <w:rPr>
                <w:sz w:val="4"/>
                <w:szCs w:val="4"/>
              </w:rPr>
            </w:r>
          </w:p>
        </w:tc>
      </w:tr>
      <w:tr>
        <w:trPr/>
        <w:tc>
          <w:tcPr>
            <w:tcW w:w="478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2772" w:type="dxa"/>
            <w:gridSpan w:val="5"/>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(In thousands)</w:t>
            </w:r>
          </w:p>
        </w:tc>
      </w:tr>
      <w:tr>
        <w:trPr/>
        <w:tc>
          <w:tcPr>
            <w:tcW w:w="478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sales</w:t>
            </w:r>
          </w:p>
        </w:tc>
        <w:tc>
          <w:tcPr>
            <w:tcW w:w="346" w:type="dxa"/>
            <w:tcBorders/>
            <w:shd w:fill="CCEEFF" w:val="clear"/>
            <w:vAlign w:val="center"/>
          </w:tcPr>
          <w:p>
            <w:pPr>
              <w:pStyle w:val="TableContents"/>
              <w:bidi w:val="0"/>
              <w:spacing w:before="0" w:after="0"/>
              <w:ind w:left="0" w:right="0" w:hanging="0"/>
              <w:jc w:val="left"/>
              <w:rPr/>
            </w:pPr>
            <w:r>
              <w:rPr/>
              <w:t>​</w:t>
            </w:r>
          </w:p>
        </w:tc>
        <w:tc>
          <w:tcPr>
            <w:tcW w:w="26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7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40,272</w:t>
            </w:r>
          </w:p>
        </w:tc>
        <w:tc>
          <w:tcPr>
            <w:tcW w:w="437" w:type="dxa"/>
            <w:tcBorders/>
            <w:shd w:fill="CCEEFF" w:val="clear"/>
            <w:vAlign w:val="center"/>
          </w:tcPr>
          <w:p>
            <w:pPr>
              <w:pStyle w:val="TableContents"/>
              <w:bidi w:val="0"/>
              <w:spacing w:before="0" w:after="0"/>
              <w:ind w:left="0" w:right="0" w:hanging="0"/>
              <w:jc w:val="left"/>
              <w:rPr/>
            </w:pPr>
            <w:r>
              <w:rPr/>
              <w:t>​</w:t>
            </w:r>
          </w:p>
        </w:tc>
        <w:tc>
          <w:tcPr>
            <w:tcW w:w="266"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930"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40,569</w:t>
            </w:r>
          </w:p>
        </w:tc>
      </w:tr>
      <w:tr>
        <w:trPr/>
        <w:tc>
          <w:tcPr>
            <w:tcW w:w="478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66" w:type="dxa"/>
            <w:tcBorders/>
            <w:vAlign w:val="center"/>
          </w:tcPr>
          <w:p>
            <w:pPr>
              <w:pStyle w:val="TableContents"/>
              <w:bidi w:val="0"/>
              <w:spacing w:before="0" w:after="0"/>
              <w:ind w:left="0" w:right="0" w:hanging="0"/>
              <w:jc w:val="left"/>
              <w:rPr/>
            </w:pPr>
            <w:r>
              <w:rPr/>
              <w:t>​</w:t>
            </w:r>
          </w:p>
        </w:tc>
        <w:tc>
          <w:tcPr>
            <w:tcW w:w="873" w:type="dxa"/>
            <w:tcBorders/>
            <w:vAlign w:val="center"/>
          </w:tcPr>
          <w:p>
            <w:pPr>
              <w:pStyle w:val="TableContents"/>
              <w:bidi w:val="0"/>
              <w:spacing w:before="0" w:after="0"/>
              <w:ind w:left="0" w:right="0" w:hanging="0"/>
              <w:jc w:val="right"/>
              <w:rPr/>
            </w:pPr>
            <w:r>
              <w:rPr/>
              <w:t>​</w:t>
            </w:r>
          </w:p>
        </w:tc>
        <w:tc>
          <w:tcPr>
            <w:tcW w:w="437" w:type="dxa"/>
            <w:tcBorders/>
            <w:vAlign w:val="center"/>
          </w:tcPr>
          <w:p>
            <w:pPr>
              <w:pStyle w:val="TableContents"/>
              <w:bidi w:val="0"/>
              <w:spacing w:before="0" w:after="0"/>
              <w:ind w:left="0" w:right="0" w:hanging="0"/>
              <w:jc w:val="left"/>
              <w:rPr/>
            </w:pPr>
            <w:r>
              <w:rPr/>
              <w:t>​</w:t>
            </w:r>
          </w:p>
        </w:tc>
        <w:tc>
          <w:tcPr>
            <w:tcW w:w="266" w:type="dxa"/>
            <w:tcBorders/>
            <w:vAlign w:val="center"/>
          </w:tcPr>
          <w:p>
            <w:pPr>
              <w:pStyle w:val="TableContents"/>
              <w:bidi w:val="0"/>
              <w:spacing w:before="0" w:after="0"/>
              <w:ind w:left="0" w:right="0" w:hanging="0"/>
              <w:jc w:val="left"/>
              <w:rPr/>
            </w:pPr>
            <w:r>
              <w:rPr/>
              <w:t>​</w:t>
            </w:r>
          </w:p>
        </w:tc>
        <w:tc>
          <w:tcPr>
            <w:tcW w:w="930" w:type="dxa"/>
            <w:tcBorders/>
            <w:vAlign w:val="center"/>
          </w:tcPr>
          <w:p>
            <w:pPr>
              <w:pStyle w:val="TableContents"/>
              <w:bidi w:val="0"/>
              <w:spacing w:before="0" w:after="0"/>
              <w:ind w:left="0" w:right="0" w:hanging="0"/>
              <w:jc w:val="right"/>
              <w:rPr/>
            </w:pPr>
            <w:r>
              <w:rPr/>
              <w:t>​</w:t>
            </w:r>
          </w:p>
        </w:tc>
      </w:tr>
      <w:tr>
        <w:trPr/>
        <w:tc>
          <w:tcPr>
            <w:tcW w:w="478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Segment profit</w:t>
            </w:r>
          </w:p>
        </w:tc>
        <w:tc>
          <w:tcPr>
            <w:tcW w:w="346" w:type="dxa"/>
            <w:tcBorders/>
            <w:shd w:fill="CCEEFF" w:val="clear"/>
            <w:vAlign w:val="center"/>
          </w:tcPr>
          <w:p>
            <w:pPr>
              <w:pStyle w:val="TableContents"/>
              <w:bidi w:val="0"/>
              <w:spacing w:before="0" w:after="0"/>
              <w:ind w:left="0" w:right="0" w:hanging="0"/>
              <w:jc w:val="left"/>
              <w:rPr/>
            </w:pPr>
            <w:r>
              <w:rPr/>
              <w:t>​</w:t>
            </w:r>
          </w:p>
        </w:tc>
        <w:tc>
          <w:tcPr>
            <w:tcW w:w="266" w:type="dxa"/>
            <w:tcBorders/>
            <w:shd w:fill="CCEEFF" w:val="clear"/>
            <w:vAlign w:val="center"/>
          </w:tcPr>
          <w:p>
            <w:pPr>
              <w:pStyle w:val="TableContents"/>
              <w:bidi w:val="0"/>
              <w:spacing w:before="0" w:after="0"/>
              <w:ind w:left="0" w:right="0" w:hanging="0"/>
              <w:jc w:val="left"/>
              <w:rPr/>
            </w:pPr>
            <w:r>
              <w:rPr/>
              <w:t>​</w:t>
            </w:r>
          </w:p>
        </w:tc>
        <w:tc>
          <w:tcPr>
            <w:tcW w:w="87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5,869</w:t>
            </w:r>
          </w:p>
        </w:tc>
        <w:tc>
          <w:tcPr>
            <w:tcW w:w="437" w:type="dxa"/>
            <w:tcBorders/>
            <w:shd w:fill="CCEEFF" w:val="clear"/>
            <w:vAlign w:val="center"/>
          </w:tcPr>
          <w:p>
            <w:pPr>
              <w:pStyle w:val="TableContents"/>
              <w:bidi w:val="0"/>
              <w:spacing w:before="0" w:after="0"/>
              <w:ind w:left="0" w:right="0" w:hanging="0"/>
              <w:jc w:val="left"/>
              <w:rPr/>
            </w:pPr>
            <w:r>
              <w:rPr/>
              <w:t>​</w:t>
            </w:r>
          </w:p>
        </w:tc>
        <w:tc>
          <w:tcPr>
            <w:tcW w:w="266" w:type="dxa"/>
            <w:tcBorders/>
            <w:shd w:fill="CCEEFF" w:val="clear"/>
            <w:vAlign w:val="center"/>
          </w:tcPr>
          <w:p>
            <w:pPr>
              <w:pStyle w:val="TableContents"/>
              <w:bidi w:val="0"/>
              <w:spacing w:before="0" w:after="0"/>
              <w:ind w:left="0" w:right="0" w:hanging="0"/>
              <w:jc w:val="left"/>
              <w:rPr/>
            </w:pPr>
            <w:r>
              <w:rPr/>
              <w:t>​</w:t>
            </w:r>
          </w:p>
        </w:tc>
        <w:tc>
          <w:tcPr>
            <w:tcW w:w="930"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7,050</w:t>
            </w:r>
          </w:p>
        </w:tc>
      </w:tr>
      <w:tr>
        <w:trPr/>
        <w:tc>
          <w:tcPr>
            <w:tcW w:w="478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Corporate expenses</w:t>
            </w:r>
          </w:p>
        </w:tc>
        <w:tc>
          <w:tcPr>
            <w:tcW w:w="346" w:type="dxa"/>
            <w:tcBorders/>
            <w:vAlign w:val="center"/>
          </w:tcPr>
          <w:p>
            <w:pPr>
              <w:pStyle w:val="TableContents"/>
              <w:bidi w:val="0"/>
              <w:spacing w:before="0" w:after="0"/>
              <w:ind w:left="0" w:right="0" w:hanging="0"/>
              <w:jc w:val="left"/>
              <w:rPr/>
            </w:pPr>
            <w:r>
              <w:rPr/>
              <w:t>​</w:t>
            </w:r>
          </w:p>
        </w:tc>
        <w:tc>
          <w:tcPr>
            <w:tcW w:w="266" w:type="dxa"/>
            <w:tcBorders/>
            <w:vAlign w:val="center"/>
          </w:tcPr>
          <w:p>
            <w:pPr>
              <w:pStyle w:val="TableContents"/>
              <w:bidi w:val="0"/>
              <w:spacing w:before="0" w:after="0"/>
              <w:ind w:left="0" w:right="0" w:hanging="0"/>
              <w:jc w:val="left"/>
              <w:rPr/>
            </w:pPr>
            <w:r>
              <w:rPr/>
              <w:t>​</w:t>
            </w:r>
          </w:p>
        </w:tc>
        <w:tc>
          <w:tcPr>
            <w:tcW w:w="873"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(2,721)</w:t>
            </w:r>
          </w:p>
        </w:tc>
        <w:tc>
          <w:tcPr>
            <w:tcW w:w="437" w:type="dxa"/>
            <w:tcBorders/>
            <w:vAlign w:val="center"/>
          </w:tcPr>
          <w:p>
            <w:pPr>
              <w:pStyle w:val="TableContents"/>
              <w:bidi w:val="0"/>
              <w:spacing w:before="0" w:after="0"/>
              <w:ind w:left="0" w:right="0" w:hanging="0"/>
              <w:jc w:val="left"/>
              <w:rPr/>
            </w:pPr>
            <w:r>
              <w:rPr/>
              <w:t>​</w:t>
            </w:r>
          </w:p>
        </w:tc>
        <w:tc>
          <w:tcPr>
            <w:tcW w:w="266" w:type="dxa"/>
            <w:tcBorders/>
            <w:vAlign w:val="center"/>
          </w:tcPr>
          <w:p>
            <w:pPr>
              <w:pStyle w:val="TableContents"/>
              <w:bidi w:val="0"/>
              <w:spacing w:before="0" w:after="0"/>
              <w:ind w:left="0" w:right="0" w:hanging="0"/>
              <w:jc w:val="left"/>
              <w:rPr/>
            </w:pPr>
            <w:r>
              <w:rPr/>
              <w:t>​</w:t>
            </w:r>
          </w:p>
        </w:tc>
        <w:tc>
          <w:tcPr>
            <w:tcW w:w="930" w:type="dxa"/>
            <w:tcBorders/>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(2,943)</w:t>
            </w:r>
          </w:p>
        </w:tc>
      </w:tr>
      <w:tr>
        <w:trPr/>
        <w:tc>
          <w:tcPr>
            <w:tcW w:w="478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Equity in earnings (losses) of Kronos Worldwide, Inc.</w:t>
            </w:r>
          </w:p>
        </w:tc>
        <w:tc>
          <w:tcPr>
            <w:tcW w:w="346" w:type="dxa"/>
            <w:tcBorders/>
            <w:shd w:fill="CCEEFF" w:val="clear"/>
            <w:vAlign w:val="center"/>
          </w:tcPr>
          <w:p>
            <w:pPr>
              <w:pStyle w:val="TableContents"/>
              <w:bidi w:val="0"/>
              <w:spacing w:before="0" w:after="0"/>
              <w:ind w:left="0" w:right="0" w:hanging="0"/>
              <w:jc w:val="left"/>
              <w:rPr/>
            </w:pPr>
            <w:r>
              <w:rPr/>
              <w:t>​</w:t>
            </w:r>
          </w:p>
        </w:tc>
        <w:tc>
          <w:tcPr>
            <w:tcW w:w="266" w:type="dxa"/>
            <w:tcBorders/>
            <w:shd w:fill="CCEEFF" w:val="clear"/>
            <w:vAlign w:val="center"/>
          </w:tcPr>
          <w:p>
            <w:pPr>
              <w:pStyle w:val="TableContents"/>
              <w:bidi w:val="0"/>
              <w:spacing w:before="0" w:after="0"/>
              <w:ind w:left="0" w:right="0" w:hanging="0"/>
              <w:jc w:val="left"/>
              <w:rPr/>
            </w:pPr>
            <w:r>
              <w:rPr/>
              <w:t>​</w:t>
            </w:r>
          </w:p>
        </w:tc>
        <w:tc>
          <w:tcPr>
            <w:tcW w:w="87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5,525</w:t>
            </w:r>
          </w:p>
        </w:tc>
        <w:tc>
          <w:tcPr>
            <w:tcW w:w="437" w:type="dxa"/>
            <w:tcBorders/>
            <w:shd w:fill="CCEEFF" w:val="clear"/>
            <w:vAlign w:val="center"/>
          </w:tcPr>
          <w:p>
            <w:pPr>
              <w:pStyle w:val="TableContents"/>
              <w:bidi w:val="0"/>
              <w:spacing w:before="0" w:after="0"/>
              <w:ind w:left="0" w:right="0" w:hanging="0"/>
              <w:jc w:val="left"/>
              <w:rPr/>
            </w:pPr>
            <w:r>
              <w:rPr/>
              <w:t>​</w:t>
            </w:r>
          </w:p>
        </w:tc>
        <w:tc>
          <w:tcPr>
            <w:tcW w:w="266" w:type="dxa"/>
            <w:tcBorders/>
            <w:shd w:fill="CCEEFF" w:val="clear"/>
            <w:vAlign w:val="center"/>
          </w:tcPr>
          <w:p>
            <w:pPr>
              <w:pStyle w:val="TableContents"/>
              <w:bidi w:val="0"/>
              <w:spacing w:before="0" w:after="0"/>
              <w:ind w:left="0" w:right="0" w:hanging="0"/>
              <w:jc w:val="left"/>
              <w:rPr/>
            </w:pPr>
            <w:r>
              <w:rPr/>
              <w:t>​</w:t>
            </w:r>
          </w:p>
        </w:tc>
        <w:tc>
          <w:tcPr>
            <w:tcW w:w="930"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(1,477)</w:t>
            </w:r>
          </w:p>
        </w:tc>
      </w:tr>
      <w:tr>
        <w:trPr/>
        <w:tc>
          <w:tcPr>
            <w:tcW w:w="478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Interest and dividend income</w:t>
            </w:r>
          </w:p>
        </w:tc>
        <w:tc>
          <w:tcPr>
            <w:tcW w:w="346" w:type="dxa"/>
            <w:tcBorders/>
            <w:vAlign w:val="center"/>
          </w:tcPr>
          <w:p>
            <w:pPr>
              <w:pStyle w:val="TableContents"/>
              <w:bidi w:val="0"/>
              <w:spacing w:before="0" w:after="0"/>
              <w:ind w:left="0" w:right="0" w:hanging="0"/>
              <w:jc w:val="left"/>
              <w:rPr/>
            </w:pPr>
            <w:r>
              <w:rPr/>
              <w:t>​</w:t>
            </w:r>
          </w:p>
        </w:tc>
        <w:tc>
          <w:tcPr>
            <w:tcW w:w="266" w:type="dxa"/>
            <w:tcBorders/>
            <w:vAlign w:val="center"/>
          </w:tcPr>
          <w:p>
            <w:pPr>
              <w:pStyle w:val="TableContents"/>
              <w:bidi w:val="0"/>
              <w:spacing w:before="0" w:after="0"/>
              <w:ind w:left="0" w:right="0" w:hanging="0"/>
              <w:jc w:val="left"/>
              <w:rPr/>
            </w:pPr>
            <w:r>
              <w:rPr/>
              <w:t>​</w:t>
            </w:r>
          </w:p>
        </w:tc>
        <w:tc>
          <w:tcPr>
            <w:tcW w:w="873"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2,038</w:t>
            </w:r>
          </w:p>
        </w:tc>
        <w:tc>
          <w:tcPr>
            <w:tcW w:w="437" w:type="dxa"/>
            <w:tcBorders/>
            <w:vAlign w:val="center"/>
          </w:tcPr>
          <w:p>
            <w:pPr>
              <w:pStyle w:val="TableContents"/>
              <w:bidi w:val="0"/>
              <w:spacing w:before="0" w:after="0"/>
              <w:ind w:left="0" w:right="0" w:hanging="0"/>
              <w:jc w:val="left"/>
              <w:rPr/>
            </w:pPr>
            <w:r>
              <w:rPr/>
              <w:t>​</w:t>
            </w:r>
          </w:p>
        </w:tc>
        <w:tc>
          <w:tcPr>
            <w:tcW w:w="266" w:type="dxa"/>
            <w:tcBorders/>
            <w:vAlign w:val="center"/>
          </w:tcPr>
          <w:p>
            <w:pPr>
              <w:pStyle w:val="TableContents"/>
              <w:bidi w:val="0"/>
              <w:spacing w:before="0" w:after="0"/>
              <w:ind w:left="0" w:right="0" w:hanging="0"/>
              <w:jc w:val="left"/>
              <w:rPr/>
            </w:pPr>
            <w:r>
              <w:rPr/>
              <w:t>​</w:t>
            </w:r>
          </w:p>
        </w:tc>
        <w:tc>
          <w:tcPr>
            <w:tcW w:w="930" w:type="dxa"/>
            <w:tcBorders/>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1,252</w:t>
            </w:r>
          </w:p>
        </w:tc>
      </w:tr>
      <w:tr>
        <w:trPr/>
        <w:tc>
          <w:tcPr>
            <w:tcW w:w="478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Marketable equity securities</w:t>
            </w:r>
          </w:p>
        </w:tc>
        <w:tc>
          <w:tcPr>
            <w:tcW w:w="346" w:type="dxa"/>
            <w:tcBorders/>
            <w:shd w:fill="CCEEFF" w:val="clear"/>
            <w:vAlign w:val="center"/>
          </w:tcPr>
          <w:p>
            <w:pPr>
              <w:pStyle w:val="TableContents"/>
              <w:bidi w:val="0"/>
              <w:spacing w:before="0" w:after="0"/>
              <w:ind w:left="0" w:right="0" w:hanging="0"/>
              <w:jc w:val="left"/>
              <w:rPr/>
            </w:pPr>
            <w:r>
              <w:rPr/>
              <w:t>​</w:t>
            </w:r>
          </w:p>
        </w:tc>
        <w:tc>
          <w:tcPr>
            <w:tcW w:w="266" w:type="dxa"/>
            <w:tcBorders/>
            <w:shd w:fill="CCEEFF" w:val="clear"/>
            <w:vAlign w:val="center"/>
          </w:tcPr>
          <w:p>
            <w:pPr>
              <w:pStyle w:val="TableContents"/>
              <w:bidi w:val="0"/>
              <w:spacing w:before="0" w:after="0"/>
              <w:ind w:left="0" w:right="0" w:hanging="0"/>
              <w:jc w:val="left"/>
              <w:rPr/>
            </w:pPr>
            <w:r>
              <w:rPr/>
              <w:t>​</w:t>
            </w:r>
          </w:p>
        </w:tc>
        <w:tc>
          <w:tcPr>
            <w:tcW w:w="87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(8,552)</w:t>
            </w:r>
          </w:p>
        </w:tc>
        <w:tc>
          <w:tcPr>
            <w:tcW w:w="437" w:type="dxa"/>
            <w:tcBorders/>
            <w:shd w:fill="CCEEFF" w:val="clear"/>
            <w:vAlign w:val="center"/>
          </w:tcPr>
          <w:p>
            <w:pPr>
              <w:pStyle w:val="TableContents"/>
              <w:bidi w:val="0"/>
              <w:spacing w:before="0" w:after="0"/>
              <w:ind w:left="0" w:right="0" w:hanging="0"/>
              <w:jc w:val="left"/>
              <w:rPr/>
            </w:pPr>
            <w:r>
              <w:rPr/>
              <w:t>​</w:t>
            </w:r>
          </w:p>
        </w:tc>
        <w:tc>
          <w:tcPr>
            <w:tcW w:w="266" w:type="dxa"/>
            <w:tcBorders/>
            <w:shd w:fill="CCEEFF" w:val="clear"/>
            <w:vAlign w:val="center"/>
          </w:tcPr>
          <w:p>
            <w:pPr>
              <w:pStyle w:val="TableContents"/>
              <w:bidi w:val="0"/>
              <w:spacing w:before="0" w:after="0"/>
              <w:ind w:left="0" w:right="0" w:hanging="0"/>
              <w:jc w:val="left"/>
              <w:rPr/>
            </w:pPr>
            <w:r>
              <w:rPr/>
              <w:t>​</w:t>
            </w:r>
          </w:p>
        </w:tc>
        <w:tc>
          <w:tcPr>
            <w:tcW w:w="930"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2,695</w:t>
            </w:r>
          </w:p>
        </w:tc>
      </w:tr>
      <w:tr>
        <w:trPr/>
        <w:tc>
          <w:tcPr>
            <w:tcW w:w="478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 components of net periodic pension and OPEB cost</w:t>
            </w:r>
          </w:p>
        </w:tc>
        <w:tc>
          <w:tcPr>
            <w:tcW w:w="346" w:type="dxa"/>
            <w:tcBorders/>
            <w:vAlign w:val="center"/>
          </w:tcPr>
          <w:p>
            <w:pPr>
              <w:pStyle w:val="TableContents"/>
              <w:bidi w:val="0"/>
              <w:spacing w:before="0" w:after="0"/>
              <w:ind w:left="0" w:right="0" w:hanging="0"/>
              <w:jc w:val="left"/>
              <w:rPr/>
            </w:pPr>
            <w:r>
              <w:rPr/>
              <w:t>​</w:t>
            </w:r>
          </w:p>
        </w:tc>
        <w:tc>
          <w:tcPr>
            <w:tcW w:w="266" w:type="dxa"/>
            <w:tcBorders/>
            <w:vAlign w:val="center"/>
          </w:tcPr>
          <w:p>
            <w:pPr>
              <w:pStyle w:val="TableContents"/>
              <w:bidi w:val="0"/>
              <w:spacing w:before="0" w:after="0"/>
              <w:ind w:left="0" w:right="0" w:hanging="0"/>
              <w:jc w:val="left"/>
              <w:rPr/>
            </w:pPr>
            <w:r>
              <w:rPr/>
              <w:t>​</w:t>
            </w:r>
          </w:p>
        </w:tc>
        <w:tc>
          <w:tcPr>
            <w:tcW w:w="873"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(285)</w:t>
            </w:r>
          </w:p>
        </w:tc>
        <w:tc>
          <w:tcPr>
            <w:tcW w:w="437" w:type="dxa"/>
            <w:tcBorders/>
            <w:vAlign w:val="center"/>
          </w:tcPr>
          <w:p>
            <w:pPr>
              <w:pStyle w:val="TableContents"/>
              <w:bidi w:val="0"/>
              <w:spacing w:before="0" w:after="0"/>
              <w:ind w:left="0" w:right="0" w:hanging="0"/>
              <w:jc w:val="left"/>
              <w:rPr/>
            </w:pPr>
            <w:r>
              <w:rPr/>
              <w:t>​</w:t>
            </w:r>
          </w:p>
        </w:tc>
        <w:tc>
          <w:tcPr>
            <w:tcW w:w="266" w:type="dxa"/>
            <w:tcBorders/>
            <w:vAlign w:val="center"/>
          </w:tcPr>
          <w:p>
            <w:pPr>
              <w:pStyle w:val="TableContents"/>
              <w:bidi w:val="0"/>
              <w:spacing w:before="0" w:after="0"/>
              <w:ind w:left="0" w:right="0" w:hanging="0"/>
              <w:jc w:val="left"/>
              <w:rPr/>
            </w:pPr>
            <w:r>
              <w:rPr/>
              <w:t>​</w:t>
            </w:r>
          </w:p>
        </w:tc>
        <w:tc>
          <w:tcPr>
            <w:tcW w:w="930" w:type="dxa"/>
            <w:tcBorders/>
            <w:vAlign w:val="center"/>
          </w:tcPr>
          <w:p>
            <w:pPr>
              <w:pStyle w:val="TableContents"/>
              <w:bidi w:val="0"/>
              <w:spacing w:before="0" w:after="0"/>
              <w:ind w:left="0" w:right="0" w:hanging="0"/>
              <w:jc w:val="right"/>
              <w:rPr/>
            </w:pPr>
            <w:r>
              <w:rPr/>
              <w:t>—</w:t>
            </w:r>
          </w:p>
        </w:tc>
      </w:tr>
      <w:tr>
        <w:trPr/>
        <w:tc>
          <w:tcPr>
            <w:tcW w:w="478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Interest expense</w:t>
            </w:r>
          </w:p>
        </w:tc>
        <w:tc>
          <w:tcPr>
            <w:tcW w:w="346" w:type="dxa"/>
            <w:tcBorders/>
            <w:shd w:fill="CCEEFF" w:val="clear"/>
            <w:vAlign w:val="center"/>
          </w:tcPr>
          <w:p>
            <w:pPr>
              <w:pStyle w:val="TableContents"/>
              <w:bidi w:val="0"/>
              <w:spacing w:before="0" w:after="0"/>
              <w:ind w:left="0" w:right="0" w:hanging="0"/>
              <w:jc w:val="left"/>
              <w:rPr/>
            </w:pPr>
            <w:r>
              <w:rPr/>
              <w:t>​</w:t>
            </w:r>
          </w:p>
        </w:tc>
        <w:tc>
          <w:tcPr>
            <w:tcW w:w="266" w:type="dxa"/>
            <w:tcBorders/>
            <w:shd w:fill="CCEEFF" w:val="clear"/>
            <w:vAlign w:val="center"/>
          </w:tcPr>
          <w:p>
            <w:pPr>
              <w:pStyle w:val="TableContents"/>
              <w:bidi w:val="0"/>
              <w:spacing w:before="0" w:after="0"/>
              <w:ind w:left="0" w:right="0" w:hanging="0"/>
              <w:jc w:val="left"/>
              <w:rPr/>
            </w:pPr>
            <w:r>
              <w:rPr/>
              <w:t>​</w:t>
            </w:r>
          </w:p>
        </w:tc>
        <w:tc>
          <w:tcPr>
            <w:tcW w:w="87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(575)</w:t>
            </w:r>
          </w:p>
        </w:tc>
        <w:tc>
          <w:tcPr>
            <w:tcW w:w="437" w:type="dxa"/>
            <w:tcBorders/>
            <w:shd w:fill="CCEEFF" w:val="clear"/>
            <w:vAlign w:val="center"/>
          </w:tcPr>
          <w:p>
            <w:pPr>
              <w:pStyle w:val="TableContents"/>
              <w:bidi w:val="0"/>
              <w:spacing w:before="0" w:after="0"/>
              <w:ind w:left="0" w:right="0" w:hanging="0"/>
              <w:jc w:val="left"/>
              <w:rPr/>
            </w:pPr>
            <w:r>
              <w:rPr/>
              <w:t>​</w:t>
            </w:r>
          </w:p>
        </w:tc>
        <w:tc>
          <w:tcPr>
            <w:tcW w:w="266" w:type="dxa"/>
            <w:tcBorders/>
            <w:shd w:fill="CCEEFF" w:val="clear"/>
            <w:vAlign w:val="center"/>
          </w:tcPr>
          <w:p>
            <w:pPr>
              <w:pStyle w:val="TableContents"/>
              <w:bidi w:val="0"/>
              <w:spacing w:before="0" w:after="0"/>
              <w:ind w:left="0" w:right="0" w:hanging="0"/>
              <w:jc w:val="left"/>
              <w:rPr/>
            </w:pPr>
            <w:r>
              <w:rPr/>
              <w:t>​</w:t>
            </w:r>
          </w:p>
        </w:tc>
        <w:tc>
          <w:tcPr>
            <w:tcW w:w="930"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(11)</w:t>
            </w:r>
          </w:p>
        </w:tc>
      </w:tr>
      <w:tr>
        <w:trPr/>
        <w:tc>
          <w:tcPr>
            <w:tcW w:w="478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Income tax benefit (expense)</w:t>
            </w:r>
          </w:p>
        </w:tc>
        <w:tc>
          <w:tcPr>
            <w:tcW w:w="346" w:type="dxa"/>
            <w:tcBorders/>
            <w:vAlign w:val="center"/>
          </w:tcPr>
          <w:p>
            <w:pPr>
              <w:pStyle w:val="TableContents"/>
              <w:bidi w:val="0"/>
              <w:spacing w:before="0" w:after="0"/>
              <w:ind w:left="0" w:right="0" w:hanging="0"/>
              <w:jc w:val="left"/>
              <w:rPr/>
            </w:pPr>
            <w:r>
              <w:rPr/>
              <w:t>​</w:t>
            </w:r>
          </w:p>
        </w:tc>
        <w:tc>
          <w:tcPr>
            <w:tcW w:w="26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873"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w:t>
            </w:r>
          </w:p>
        </w:tc>
        <w:tc>
          <w:tcPr>
            <w:tcW w:w="437" w:type="dxa"/>
            <w:tcBorders/>
            <w:vAlign w:val="center"/>
          </w:tcPr>
          <w:p>
            <w:pPr>
              <w:pStyle w:val="TableContents"/>
              <w:bidi w:val="0"/>
              <w:spacing w:before="0" w:after="0"/>
              <w:ind w:left="0" w:right="0" w:hanging="0"/>
              <w:jc w:val="left"/>
              <w:rPr/>
            </w:pPr>
            <w:r>
              <w:rPr/>
              <w:t>​</w:t>
            </w:r>
          </w:p>
        </w:tc>
        <w:tc>
          <w:tcPr>
            <w:tcW w:w="26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30"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(1,472)</w:t>
            </w:r>
          </w:p>
        </w:tc>
      </w:tr>
      <w:tr>
        <w:trPr/>
        <w:tc>
          <w:tcPr>
            <w:tcW w:w="478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Net income </w:t>
            </w:r>
          </w:p>
        </w:tc>
        <w:tc>
          <w:tcPr>
            <w:tcW w:w="346" w:type="dxa"/>
            <w:tcBorders/>
            <w:shd w:fill="CCEEFF" w:val="clear"/>
            <w:vAlign w:val="center"/>
          </w:tcPr>
          <w:p>
            <w:pPr>
              <w:pStyle w:val="TableContents"/>
              <w:bidi w:val="0"/>
              <w:spacing w:before="0" w:after="0"/>
              <w:ind w:left="0" w:right="0" w:hanging="0"/>
              <w:jc w:val="left"/>
              <w:rPr/>
            </w:pPr>
            <w:r>
              <w:rPr/>
              <w:t>​</w:t>
            </w:r>
          </w:p>
        </w:tc>
        <w:tc>
          <w:tcPr>
            <w:tcW w:w="26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73"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1,322</w:t>
            </w:r>
          </w:p>
        </w:tc>
        <w:tc>
          <w:tcPr>
            <w:tcW w:w="437" w:type="dxa"/>
            <w:tcBorders/>
            <w:shd w:fill="CCEEFF" w:val="clear"/>
            <w:vAlign w:val="center"/>
          </w:tcPr>
          <w:p>
            <w:pPr>
              <w:pStyle w:val="TableContents"/>
              <w:bidi w:val="0"/>
              <w:spacing w:before="0" w:after="0"/>
              <w:ind w:left="0" w:right="0" w:hanging="0"/>
              <w:jc w:val="left"/>
              <w:rPr/>
            </w:pPr>
            <w:r>
              <w:rPr/>
              <w:t>​</w:t>
            </w:r>
          </w:p>
        </w:tc>
        <w:tc>
          <w:tcPr>
            <w:tcW w:w="26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930" w:type="dxa"/>
            <w:tcBorders>
              <w:bottom w:val="double" w:sz="6" w:space="0" w:color="000000"/>
            </w:tcBorders>
            <w:shd w:fill="CCEEFF" w:val="clear"/>
            <w:tcMar>
              <w:bottom w:w="28" w:type="dxa"/>
            </w:tcMar>
            <w:vAlign w:val="center"/>
          </w:tcPr>
          <w:p>
            <w:pPr>
              <w:pStyle w:val="TableContents"/>
              <w:bidi w:val="0"/>
              <w:spacing w:before="0" w:after="0"/>
              <w:ind w:left="0" w:right="60" w:hanging="0"/>
              <w:jc w:val="right"/>
              <w:rPr>
                <w:rFonts w:ascii="Times New Roman;Times;serif" w:hAnsi="Times New Roman;Times;serif"/>
                <w:b/>
                <w:sz w:val="20"/>
              </w:rPr>
            </w:pPr>
            <w:r>
              <w:rPr>
                <w:rFonts w:ascii="Times New Roman;Times;serif" w:hAnsi="Times New Roman;Times;serif"/>
                <w:b/>
                <w:sz w:val="20"/>
              </w:rPr>
              <w:t>5,094</w:t>
            </w:r>
          </w:p>
        </w:tc>
      </w:tr>
    </w:tbl>
    <w:p>
      <w:pPr>
        <w:pStyle w:val="TextBody"/>
        <w:bidi w:val="0"/>
        <w:spacing w:before="0" w:after="0"/>
        <w:ind w:left="0" w:right="0" w:firstLine="720"/>
        <w:jc w:val="both"/>
        <w:rPr/>
      </w:pPr>
      <w:r>
        <w:rPr/>
        <w:t>​</w:t>
      </w:r>
    </w:p>
    <w:p>
      <w:pPr>
        <w:pStyle w:val="TextBody"/>
        <w:bidi w:val="0"/>
        <w:spacing w:before="0" w:after="240"/>
        <w:ind w:left="0" w:right="0" w:firstLine="360"/>
        <w:jc w:val="both"/>
        <w:rPr/>
      </w:pPr>
      <w:r>
        <w:rPr/>
        <w:t>​</w:t>
      </w:r>
    </w:p>
    <w:p>
      <w:pPr>
        <w:pStyle w:val="TextBody"/>
        <w:bidi w:val="0"/>
        <w:spacing w:before="0" w:after="240"/>
        <w:ind w:left="0" w:right="0" w:hanging="0"/>
        <w:jc w:val="left"/>
        <w:rPr>
          <w:rFonts w:ascii="Times New Roman;Times;serif" w:hAnsi="Times New Roman;Times;serif"/>
          <w:b/>
          <w:sz w:val="20"/>
        </w:rPr>
      </w:pPr>
      <w:bookmarkStart w:id="598" w:name="Tc_VdJZI3jWDEe66op4wvzbSQ_7_5"/>
      <w:bookmarkStart w:id="599" w:name="Tc_JLR6PJQ__0KK4BNKG7TTGA_7_2"/>
      <w:bookmarkStart w:id="600" w:name="Tc_XijRx2OTGUWBpYWzvdbNFw_7_0"/>
      <w:bookmarkStart w:id="601" w:name="Tc_WuXG2214xE2ihmGvYTL2Sg_6_0"/>
      <w:bookmarkStart w:id="602" w:name="Tc_v3wGZ9m7SEOfoVoyPRe5kg_5_0"/>
      <w:bookmarkStart w:id="603" w:name="Tc_ZEnWEUFFaUy_GpJvwIADig_4_5"/>
      <w:bookmarkStart w:id="604" w:name="Tc_57L3YRcPr0GELSyjY_g2-w_4_2"/>
      <w:bookmarkStart w:id="605" w:name="Tc_dG0F4Gr7xk6BQxyaC2KFjA_4_0"/>
      <w:bookmarkStart w:id="606" w:name="Tc_ZEu7u83GE0CkZaMuobKTCg_3_2"/>
      <w:bookmarkStart w:id="607" w:name="Tc_aJYTj1uYU0KhPOQRB2XsQA_2_5"/>
      <w:bookmarkStart w:id="608" w:name="Tc_Ybz_NVj3pUyTVXC7_lHM3A_2_2"/>
      <w:bookmarkStart w:id="609" w:name="Tc_7tHJIyi88kyInbsEB2oDgQ_1_5"/>
      <w:bookmarkStart w:id="610" w:name="Tc_ypIl_vyW40azv0nD6uUQ5g_1_2"/>
      <w:bookmarkEnd w:id="598"/>
      <w:bookmarkEnd w:id="599"/>
      <w:bookmarkEnd w:id="600"/>
      <w:bookmarkEnd w:id="601"/>
      <w:bookmarkEnd w:id="602"/>
      <w:bookmarkEnd w:id="603"/>
      <w:bookmarkEnd w:id="604"/>
      <w:bookmarkEnd w:id="605"/>
      <w:bookmarkEnd w:id="606"/>
      <w:bookmarkEnd w:id="607"/>
      <w:bookmarkEnd w:id="608"/>
      <w:bookmarkEnd w:id="609"/>
      <w:bookmarkEnd w:id="610"/>
      <w:r>
        <w:rPr>
          <w:rFonts w:ascii="Times New Roman;Times;serif" w:hAnsi="Times New Roman;Times;serif"/>
          <w:b/>
          <w:sz w:val="20"/>
        </w:rPr>
        <w:t>Note 3 – Accounts and other receivables, net:</w:t>
      </w:r>
    </w:p>
    <w:p>
      <w:pPr>
        <w:pStyle w:val="TextBody"/>
        <w:bidi w:val="0"/>
        <w:spacing w:before="0" w:after="0"/>
        <w:ind w:left="0" w:right="0" w:hanging="0"/>
        <w:jc w:val="left"/>
        <w:rPr/>
      </w:pPr>
      <w:r>
        <w:rPr/>
        <w:t>​</w:t>
      </w:r>
    </w:p>
    <w:tbl>
      <w:tblPr>
        <w:tblW w:w="5838" w:type="dxa"/>
        <w:jc w:val="left"/>
        <w:tblInd w:w="0" w:type="dxa"/>
        <w:tblLayout w:type="fixed"/>
        <w:tblCellMar>
          <w:top w:w="0" w:type="dxa"/>
          <w:left w:w="0" w:type="dxa"/>
          <w:bottom w:w="0" w:type="dxa"/>
          <w:right w:w="0" w:type="dxa"/>
        </w:tblCellMar>
      </w:tblPr>
      <w:tblGrid>
        <w:gridCol w:w="2776"/>
        <w:gridCol w:w="346"/>
        <w:gridCol w:w="310"/>
        <w:gridCol w:w="995"/>
        <w:gridCol w:w="346"/>
        <w:gridCol w:w="226"/>
        <w:gridCol w:w="839"/>
      </w:tblGrid>
      <w:tr>
        <w:trPr/>
        <w:tc>
          <w:tcPr>
            <w:tcW w:w="27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6">
                      <wp:simplePos x="0" y="0"/>
                      <wp:positionH relativeFrom="character">
                        <wp:align>left</wp:align>
                      </wp:positionH>
                      <wp:positionV relativeFrom="line">
                        <wp:posOffset>635</wp:posOffset>
                      </wp:positionV>
                      <wp:extent cx="1762760" cy="175260"/>
                      <wp:effectExtent l="0" t="0" r="0" b="0"/>
                      <wp:wrapNone/>
                      <wp:docPr id="65" name="Frame65"/>
                      <a:graphic xmlns:a="http://schemas.openxmlformats.org/drawingml/2006/main">
                        <a:graphicData uri="http://schemas.microsoft.com/office/word/2010/wordprocessingShape">
                          <wps:wsp>
                            <wps:cNvSpPr txBox="1"/>
                            <wps:spPr>
                              <a:xfrm>
                                <a:off x="0" y="0"/>
                                <a:ext cx="17627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8.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7">
                      <wp:simplePos x="0" y="0"/>
                      <wp:positionH relativeFrom="character">
                        <wp:align>left</wp:align>
                      </wp:positionH>
                      <wp:positionV relativeFrom="line">
                        <wp:posOffset>635</wp:posOffset>
                      </wp:positionV>
                      <wp:extent cx="219710" cy="175260"/>
                      <wp:effectExtent l="0" t="0" r="0" b="0"/>
                      <wp:wrapNone/>
                      <wp:docPr id="66" name="Frame66"/>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1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8">
                      <wp:simplePos x="0" y="0"/>
                      <wp:positionH relativeFrom="character">
                        <wp:align>left</wp:align>
                      </wp:positionH>
                      <wp:positionV relativeFrom="line">
                        <wp:posOffset>635</wp:posOffset>
                      </wp:positionV>
                      <wp:extent cx="196850" cy="175260"/>
                      <wp:effectExtent l="0" t="0" r="0" b="0"/>
                      <wp:wrapNone/>
                      <wp:docPr id="67" name="Frame67"/>
                      <a:graphic xmlns:a="http://schemas.openxmlformats.org/drawingml/2006/main">
                        <a:graphicData uri="http://schemas.microsoft.com/office/word/2010/wordprocessingShape">
                          <wps:wsp>
                            <wps:cNvSpPr txBox="1"/>
                            <wps:spPr>
                              <a:xfrm>
                                <a:off x="0" y="0"/>
                                <a:ext cx="19685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9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9">
                      <wp:simplePos x="0" y="0"/>
                      <wp:positionH relativeFrom="character">
                        <wp:align>left</wp:align>
                      </wp:positionH>
                      <wp:positionV relativeFrom="line">
                        <wp:posOffset>635</wp:posOffset>
                      </wp:positionV>
                      <wp:extent cx="631825" cy="175260"/>
                      <wp:effectExtent l="0" t="0" r="0" b="0"/>
                      <wp:wrapNone/>
                      <wp:docPr id="68" name="Frame68"/>
                      <a:graphic xmlns:a="http://schemas.openxmlformats.org/drawingml/2006/main">
                        <a:graphicData uri="http://schemas.microsoft.com/office/word/2010/wordprocessingShape">
                          <wps:wsp>
                            <wps:cNvSpPr txBox="1"/>
                            <wps:spPr>
                              <a:xfrm>
                                <a:off x="0" y="0"/>
                                <a:ext cx="63182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9.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0">
                      <wp:simplePos x="0" y="0"/>
                      <wp:positionH relativeFrom="character">
                        <wp:align>left</wp:align>
                      </wp:positionH>
                      <wp:positionV relativeFrom="line">
                        <wp:posOffset>635</wp:posOffset>
                      </wp:positionV>
                      <wp:extent cx="219710" cy="175260"/>
                      <wp:effectExtent l="0" t="0" r="0" b="0"/>
                      <wp:wrapNone/>
                      <wp:docPr id="69" name="Frame69"/>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1">
                      <wp:simplePos x="0" y="0"/>
                      <wp:positionH relativeFrom="character">
                        <wp:align>left</wp:align>
                      </wp:positionH>
                      <wp:positionV relativeFrom="line">
                        <wp:posOffset>635</wp:posOffset>
                      </wp:positionV>
                      <wp:extent cx="143510" cy="175260"/>
                      <wp:effectExtent l="0" t="0" r="0" b="0"/>
                      <wp:wrapNone/>
                      <wp:docPr id="70" name="Frame70"/>
                      <a:graphic xmlns:a="http://schemas.openxmlformats.org/drawingml/2006/main">
                        <a:graphicData uri="http://schemas.microsoft.com/office/word/2010/wordprocessingShape">
                          <wps:wsp>
                            <wps:cNvSpPr txBox="1"/>
                            <wps:spPr>
                              <a:xfrm>
                                <a:off x="0" y="0"/>
                                <a:ext cx="1435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3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2">
                      <wp:simplePos x="0" y="0"/>
                      <wp:positionH relativeFrom="character">
                        <wp:align>left</wp:align>
                      </wp:positionH>
                      <wp:positionV relativeFrom="line">
                        <wp:posOffset>635</wp:posOffset>
                      </wp:positionV>
                      <wp:extent cx="532765" cy="175260"/>
                      <wp:effectExtent l="0" t="0" r="0" b="0"/>
                      <wp:wrapNone/>
                      <wp:docPr id="71" name="Frame71"/>
                      <a:graphic xmlns:a="http://schemas.openxmlformats.org/drawingml/2006/main">
                        <a:graphicData uri="http://schemas.microsoft.com/office/word/2010/wordprocessingShape">
                          <wps:wsp>
                            <wps:cNvSpPr txBox="1"/>
                            <wps:spPr>
                              <a:xfrm>
                                <a:off x="0" y="0"/>
                                <a:ext cx="53276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1.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77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305" w:type="dxa"/>
            <w:gridSpan w:val="2"/>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December 31, </w:t>
            </w:r>
          </w:p>
        </w:tc>
        <w:tc>
          <w:tcPr>
            <w:tcW w:w="346" w:type="dxa"/>
            <w:tcBorders/>
            <w:vAlign w:val="center"/>
          </w:tcPr>
          <w:p>
            <w:pPr>
              <w:pStyle w:val="TableContents"/>
              <w:bidi w:val="0"/>
              <w:spacing w:before="0" w:after="0"/>
              <w:ind w:left="0" w:right="0" w:hanging="0"/>
              <w:jc w:val="left"/>
              <w:rPr/>
            </w:pPr>
            <w:r>
              <w:rPr/>
              <w:t>​</w:t>
            </w:r>
          </w:p>
        </w:tc>
        <w:tc>
          <w:tcPr>
            <w:tcW w:w="1065" w:type="dxa"/>
            <w:gridSpan w:val="2"/>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March 31, </w:t>
            </w:r>
          </w:p>
        </w:tc>
      </w:tr>
      <w:tr>
        <w:trPr/>
        <w:tc>
          <w:tcPr>
            <w:tcW w:w="277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 ​ ​</w:t>
            </w:r>
          </w:p>
        </w:tc>
        <w:tc>
          <w:tcPr>
            <w:tcW w:w="130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2025</w:t>
            </w:r>
          </w:p>
        </w:tc>
        <w:tc>
          <w:tcPr>
            <w:tcW w:w="346" w:type="dxa"/>
            <w:tcBorders/>
            <w:vAlign w:val="center"/>
          </w:tcPr>
          <w:p>
            <w:pPr>
              <w:pStyle w:val="TableContents"/>
              <w:bidi w:val="0"/>
              <w:spacing w:before="0" w:after="0"/>
              <w:ind w:left="0" w:right="0" w:hanging="0"/>
              <w:jc w:val="left"/>
              <w:rPr/>
            </w:pPr>
            <w:r>
              <w:rPr/>
              <w:t>  ​ ​ ​</w:t>
            </w:r>
          </w:p>
        </w:tc>
        <w:tc>
          <w:tcPr>
            <w:tcW w:w="106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2026</w:t>
            </w:r>
          </w:p>
        </w:tc>
      </w:tr>
      <w:tr>
        <w:trPr/>
        <w:tc>
          <w:tcPr>
            <w:tcW w:w="5838" w:type="dxa"/>
            <w:gridSpan w:val="7"/>
            <w:tcBorders/>
            <w:vAlign w:val="center"/>
          </w:tcPr>
          <w:p>
            <w:pPr>
              <w:pStyle w:val="TableContents"/>
              <w:bidi w:val="0"/>
              <w:spacing w:before="0" w:after="283"/>
              <w:ind w:left="0" w:right="0" w:hanging="0"/>
              <w:jc w:val="left"/>
              <w:rPr>
                <w:sz w:val="4"/>
                <w:szCs w:val="4"/>
              </w:rPr>
            </w:pPr>
            <w:r>
              <w:rPr>
                <w:sz w:val="4"/>
                <w:szCs w:val="4"/>
              </w:rPr>
            </w:r>
          </w:p>
        </w:tc>
      </w:tr>
      <w:tr>
        <w:trPr/>
        <w:tc>
          <w:tcPr>
            <w:tcW w:w="277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716" w:type="dxa"/>
            <w:gridSpan w:val="5"/>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(In thousands)</w:t>
            </w:r>
          </w:p>
        </w:tc>
      </w:tr>
      <w:tr>
        <w:trPr/>
        <w:tc>
          <w:tcPr>
            <w:tcW w:w="277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Trade receivables - CompX</w:t>
            </w:r>
          </w:p>
        </w:tc>
        <w:tc>
          <w:tcPr>
            <w:tcW w:w="346" w:type="dxa"/>
            <w:tcBorders/>
            <w:shd w:fill="CCEEFF" w:val="clear"/>
            <w:vAlign w:val="center"/>
          </w:tcPr>
          <w:p>
            <w:pPr>
              <w:pStyle w:val="TableContents"/>
              <w:bidi w:val="0"/>
              <w:spacing w:before="0" w:after="0"/>
              <w:ind w:left="0" w:right="0" w:hanging="0"/>
              <w:jc w:val="left"/>
              <w:rPr/>
            </w:pPr>
            <w:r>
              <w:rPr/>
              <w:t>​</w:t>
            </w:r>
          </w:p>
        </w:tc>
        <w:tc>
          <w:tcPr>
            <w:tcW w:w="31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9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13,836</w:t>
            </w:r>
          </w:p>
        </w:tc>
        <w:tc>
          <w:tcPr>
            <w:tcW w:w="346" w:type="dxa"/>
            <w:tcBorders/>
            <w:shd w:fill="CCEEFF" w:val="clear"/>
            <w:vAlign w:val="center"/>
          </w:tcPr>
          <w:p>
            <w:pPr>
              <w:pStyle w:val="TableContents"/>
              <w:bidi w:val="0"/>
              <w:spacing w:before="0" w:after="0"/>
              <w:ind w:left="0" w:right="0" w:hanging="0"/>
              <w:jc w:val="left"/>
              <w:rPr/>
            </w:pPr>
            <w:r>
              <w:rPr/>
              <w:t>​</w:t>
            </w:r>
          </w:p>
        </w:tc>
        <w:tc>
          <w:tcPr>
            <w:tcW w:w="226"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839"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19,029</w:t>
            </w:r>
          </w:p>
        </w:tc>
      </w:tr>
      <w:tr>
        <w:trPr/>
        <w:tc>
          <w:tcPr>
            <w:tcW w:w="277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 receivables</w:t>
            </w:r>
          </w:p>
        </w:tc>
        <w:tc>
          <w:tcPr>
            <w:tcW w:w="346" w:type="dxa"/>
            <w:tcBorders/>
            <w:vAlign w:val="center"/>
          </w:tcPr>
          <w:p>
            <w:pPr>
              <w:pStyle w:val="TableContents"/>
              <w:bidi w:val="0"/>
              <w:spacing w:before="0" w:after="0"/>
              <w:ind w:left="0" w:right="0" w:hanging="0"/>
              <w:jc w:val="left"/>
              <w:rPr/>
            </w:pPr>
            <w:r>
              <w:rPr/>
              <w:t>​</w:t>
            </w:r>
          </w:p>
        </w:tc>
        <w:tc>
          <w:tcPr>
            <w:tcW w:w="310" w:type="dxa"/>
            <w:tcBorders/>
            <w:vAlign w:val="center"/>
          </w:tcPr>
          <w:p>
            <w:pPr>
              <w:pStyle w:val="TableContents"/>
              <w:bidi w:val="0"/>
              <w:spacing w:before="0" w:after="0"/>
              <w:ind w:left="0" w:right="0" w:hanging="0"/>
              <w:jc w:val="left"/>
              <w:rPr/>
            </w:pPr>
            <w:r>
              <w:rPr/>
              <w:t> </w:t>
            </w:r>
          </w:p>
        </w:tc>
        <w:tc>
          <w:tcPr>
            <w:tcW w:w="995"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35</w:t>
            </w:r>
          </w:p>
        </w:tc>
        <w:tc>
          <w:tcPr>
            <w:tcW w:w="346"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left"/>
              <w:rPr/>
            </w:pPr>
            <w:r>
              <w:rPr/>
              <w:t> </w:t>
            </w:r>
          </w:p>
        </w:tc>
        <w:tc>
          <w:tcPr>
            <w:tcW w:w="839" w:type="dxa"/>
            <w:tcBorders/>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30</w:t>
            </w:r>
          </w:p>
        </w:tc>
      </w:tr>
      <w:tr>
        <w:trPr/>
        <w:tc>
          <w:tcPr>
            <w:tcW w:w="277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Allowance for doubtful accounts</w:t>
            </w:r>
          </w:p>
        </w:tc>
        <w:tc>
          <w:tcPr>
            <w:tcW w:w="346" w:type="dxa"/>
            <w:tcBorders/>
            <w:shd w:fill="CCEEFF" w:val="clear"/>
            <w:vAlign w:val="center"/>
          </w:tcPr>
          <w:p>
            <w:pPr>
              <w:pStyle w:val="TableContents"/>
              <w:bidi w:val="0"/>
              <w:spacing w:before="0" w:after="0"/>
              <w:ind w:left="0" w:right="0" w:hanging="0"/>
              <w:jc w:val="left"/>
              <w:rPr/>
            </w:pPr>
            <w:r>
              <w:rPr/>
              <w:t>​</w:t>
            </w:r>
          </w:p>
        </w:tc>
        <w:tc>
          <w:tcPr>
            <w:tcW w:w="31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99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(70)</w:t>
            </w:r>
          </w:p>
        </w:tc>
        <w:tc>
          <w:tcPr>
            <w:tcW w:w="346" w:type="dxa"/>
            <w:tcBorders/>
            <w:shd w:fill="CCEEFF" w:val="clear"/>
            <w:vAlign w:val="center"/>
          </w:tcPr>
          <w:p>
            <w:pPr>
              <w:pStyle w:val="TableContents"/>
              <w:bidi w:val="0"/>
              <w:spacing w:before="0" w:after="0"/>
              <w:ind w:left="0" w:right="0" w:hanging="0"/>
              <w:jc w:val="left"/>
              <w:rPr/>
            </w:pPr>
            <w:r>
              <w:rPr/>
              <w:t>​</w:t>
            </w:r>
          </w:p>
        </w:tc>
        <w:tc>
          <w:tcPr>
            <w:tcW w:w="22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839"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(70)</w:t>
            </w:r>
          </w:p>
        </w:tc>
      </w:tr>
      <w:tr>
        <w:trPr/>
        <w:tc>
          <w:tcPr>
            <w:tcW w:w="277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w:t>
            </w:r>
          </w:p>
        </w:tc>
        <w:tc>
          <w:tcPr>
            <w:tcW w:w="346" w:type="dxa"/>
            <w:tcBorders/>
            <w:vAlign w:val="center"/>
          </w:tcPr>
          <w:p>
            <w:pPr>
              <w:pStyle w:val="TableContents"/>
              <w:bidi w:val="0"/>
              <w:spacing w:before="0" w:after="0"/>
              <w:ind w:left="0" w:right="0" w:hanging="0"/>
              <w:jc w:val="left"/>
              <w:rPr/>
            </w:pPr>
            <w:r>
              <w:rPr/>
              <w:t>​</w:t>
            </w:r>
          </w:p>
        </w:tc>
        <w:tc>
          <w:tcPr>
            <w:tcW w:w="310"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95"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13,801</w:t>
            </w:r>
          </w:p>
        </w:tc>
        <w:tc>
          <w:tcPr>
            <w:tcW w:w="346" w:type="dxa"/>
            <w:tcBorders/>
            <w:vAlign w:val="center"/>
          </w:tcPr>
          <w:p>
            <w:pPr>
              <w:pStyle w:val="TableContents"/>
              <w:bidi w:val="0"/>
              <w:spacing w:before="0" w:after="0"/>
              <w:ind w:left="0" w:right="0" w:hanging="0"/>
              <w:jc w:val="left"/>
              <w:rPr/>
            </w:pPr>
            <w:r>
              <w:rPr/>
              <w:t>​</w:t>
            </w:r>
          </w:p>
        </w:tc>
        <w:tc>
          <w:tcPr>
            <w:tcW w:w="226"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839" w:type="dxa"/>
            <w:tcBorders>
              <w:bottom w:val="double" w:sz="6" w:space="0" w:color="000000"/>
            </w:tcBorders>
            <w:tcMar>
              <w:bottom w:w="28" w:type="dxa"/>
            </w:tcMar>
            <w:vAlign w:val="center"/>
          </w:tcPr>
          <w:p>
            <w:pPr>
              <w:pStyle w:val="TableContents"/>
              <w:bidi w:val="0"/>
              <w:spacing w:before="0" w:after="0"/>
              <w:ind w:left="0" w:right="60" w:hanging="0"/>
              <w:jc w:val="right"/>
              <w:rPr>
                <w:rFonts w:ascii="Times New Roman;Times;serif" w:hAnsi="Times New Roman;Times;serif"/>
                <w:b/>
                <w:sz w:val="20"/>
              </w:rPr>
            </w:pPr>
            <w:r>
              <w:rPr>
                <w:rFonts w:ascii="Times New Roman;Times;serif" w:hAnsi="Times New Roman;Times;serif"/>
                <w:b/>
                <w:sz w:val="20"/>
              </w:rPr>
              <w:t>18,989</w:t>
            </w:r>
          </w:p>
        </w:tc>
      </w:tr>
    </w:tbl>
    <w:p>
      <w:pPr>
        <w:pStyle w:val="TextBody"/>
        <w:bidi w:val="0"/>
        <w:spacing w:before="0" w:after="0"/>
        <w:ind w:left="0" w:right="0" w:firstLine="720"/>
        <w:jc w:val="left"/>
        <w:rPr/>
      </w:pPr>
      <w:r>
        <w:rPr/>
        <w:t>​</w:t>
      </w:r>
    </w:p>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b/>
          <w:sz w:val="20"/>
        </w:rPr>
      </w:pPr>
      <w:bookmarkStart w:id="611" w:name="Tc_0evc5Wx-lEWUSs9wSfitmA_7_5"/>
      <w:bookmarkStart w:id="612" w:name="Tc_j71QnrnorUaZPmvcnb-I5Q_7_2"/>
      <w:bookmarkStart w:id="613" w:name="Tc_tlozJ5a-qUGntj4S1xPFhQ_7_0"/>
      <w:bookmarkStart w:id="614" w:name="Tc_qrMpa2eybkWgTeqqHUSz1A_6_0"/>
      <w:bookmarkStart w:id="615" w:name="Tc_obO9LnTUwkiSHIw3P2WxAQ_5_0"/>
      <w:bookmarkStart w:id="616" w:name="Tc_7WhEX7RCS0mxMAV-QA-IMQ_4_5"/>
      <w:bookmarkStart w:id="617" w:name="Tc_XlREHmmdbUmjTDt4IkbeEQ_4_2"/>
      <w:bookmarkStart w:id="618" w:name="Tc_Js98akBi-Uqg8SRVE5oRSg_4_0"/>
      <w:bookmarkStart w:id="619" w:name="Tc_aV_ztJDPXk2Ly6_NdcYmIQ_3_2"/>
      <w:bookmarkStart w:id="620" w:name="Tc_02s_K9jSek-iwcibvWknHQ_2_5"/>
      <w:bookmarkStart w:id="621" w:name="Tc_a8VwDQmmVUqWqjc9aC1dFw_2_2"/>
      <w:bookmarkStart w:id="622" w:name="Tc_92pSyJG2u0ObOFLs6mkOAg_1_5"/>
      <w:bookmarkStart w:id="623" w:name="Tc_7T99Emofuker5WT3IaSYIQ_1_2"/>
      <w:bookmarkEnd w:id="611"/>
      <w:bookmarkEnd w:id="612"/>
      <w:bookmarkEnd w:id="613"/>
      <w:bookmarkEnd w:id="614"/>
      <w:bookmarkEnd w:id="615"/>
      <w:bookmarkEnd w:id="616"/>
      <w:bookmarkEnd w:id="617"/>
      <w:bookmarkEnd w:id="618"/>
      <w:bookmarkEnd w:id="619"/>
      <w:bookmarkEnd w:id="620"/>
      <w:bookmarkEnd w:id="621"/>
      <w:bookmarkEnd w:id="622"/>
      <w:bookmarkEnd w:id="623"/>
      <w:r>
        <w:rPr>
          <w:rFonts w:ascii="Times New Roman;Times;serif" w:hAnsi="Times New Roman;Times;serif"/>
          <w:b/>
          <w:sz w:val="20"/>
        </w:rPr>
        <w:t>Note 4 – Inventories, net:</w:t>
      </w:r>
    </w:p>
    <w:p>
      <w:pPr>
        <w:pStyle w:val="TextBody"/>
        <w:bidi w:val="0"/>
        <w:spacing w:before="0" w:after="0"/>
        <w:ind w:left="0" w:right="0" w:hanging="0"/>
        <w:jc w:val="left"/>
        <w:rPr/>
      </w:pPr>
      <w:r>
        <w:rPr/>
        <w:t>​</w:t>
      </w:r>
    </w:p>
    <w:tbl>
      <w:tblPr>
        <w:tblW w:w="4638" w:type="dxa"/>
        <w:jc w:val="left"/>
        <w:tblInd w:w="0" w:type="dxa"/>
        <w:tblLayout w:type="fixed"/>
        <w:tblCellMar>
          <w:top w:w="0" w:type="dxa"/>
          <w:left w:w="0" w:type="dxa"/>
          <w:bottom w:w="0" w:type="dxa"/>
          <w:right w:w="0" w:type="dxa"/>
        </w:tblCellMar>
      </w:tblPr>
      <w:tblGrid>
        <w:gridCol w:w="1576"/>
        <w:gridCol w:w="346"/>
        <w:gridCol w:w="310"/>
        <w:gridCol w:w="995"/>
        <w:gridCol w:w="346"/>
        <w:gridCol w:w="226"/>
        <w:gridCol w:w="839"/>
      </w:tblGrid>
      <w:tr>
        <w:trPr/>
        <w:tc>
          <w:tcPr>
            <w:tcW w:w="15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3">
                      <wp:simplePos x="0" y="0"/>
                      <wp:positionH relativeFrom="character">
                        <wp:align>left</wp:align>
                      </wp:positionH>
                      <wp:positionV relativeFrom="line">
                        <wp:posOffset>635</wp:posOffset>
                      </wp:positionV>
                      <wp:extent cx="1000760" cy="175260"/>
                      <wp:effectExtent l="0" t="0" r="0" b="0"/>
                      <wp:wrapNone/>
                      <wp:docPr id="72" name="Frame72"/>
                      <a:graphic xmlns:a="http://schemas.openxmlformats.org/drawingml/2006/main">
                        <a:graphicData uri="http://schemas.microsoft.com/office/word/2010/wordprocessingShape">
                          <wps:wsp>
                            <wps:cNvSpPr txBox="1"/>
                            <wps:spPr>
                              <a:xfrm>
                                <a:off x="0" y="0"/>
                                <a:ext cx="10007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8.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4">
                      <wp:simplePos x="0" y="0"/>
                      <wp:positionH relativeFrom="character">
                        <wp:align>left</wp:align>
                      </wp:positionH>
                      <wp:positionV relativeFrom="line">
                        <wp:posOffset>635</wp:posOffset>
                      </wp:positionV>
                      <wp:extent cx="219710" cy="175260"/>
                      <wp:effectExtent l="0" t="0" r="0" b="0"/>
                      <wp:wrapNone/>
                      <wp:docPr id="73" name="Frame73"/>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1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5">
                      <wp:simplePos x="0" y="0"/>
                      <wp:positionH relativeFrom="character">
                        <wp:align>left</wp:align>
                      </wp:positionH>
                      <wp:positionV relativeFrom="line">
                        <wp:posOffset>635</wp:posOffset>
                      </wp:positionV>
                      <wp:extent cx="196850" cy="175260"/>
                      <wp:effectExtent l="0" t="0" r="0" b="0"/>
                      <wp:wrapNone/>
                      <wp:docPr id="74" name="Frame74"/>
                      <a:graphic xmlns:a="http://schemas.openxmlformats.org/drawingml/2006/main">
                        <a:graphicData uri="http://schemas.microsoft.com/office/word/2010/wordprocessingShape">
                          <wps:wsp>
                            <wps:cNvSpPr txBox="1"/>
                            <wps:spPr>
                              <a:xfrm>
                                <a:off x="0" y="0"/>
                                <a:ext cx="19685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9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6">
                      <wp:simplePos x="0" y="0"/>
                      <wp:positionH relativeFrom="character">
                        <wp:align>left</wp:align>
                      </wp:positionH>
                      <wp:positionV relativeFrom="line">
                        <wp:posOffset>635</wp:posOffset>
                      </wp:positionV>
                      <wp:extent cx="631825" cy="175260"/>
                      <wp:effectExtent l="0" t="0" r="0" b="0"/>
                      <wp:wrapNone/>
                      <wp:docPr id="75" name="Frame75"/>
                      <a:graphic xmlns:a="http://schemas.openxmlformats.org/drawingml/2006/main">
                        <a:graphicData uri="http://schemas.microsoft.com/office/word/2010/wordprocessingShape">
                          <wps:wsp>
                            <wps:cNvSpPr txBox="1"/>
                            <wps:spPr>
                              <a:xfrm>
                                <a:off x="0" y="0"/>
                                <a:ext cx="63182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9.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7">
                      <wp:simplePos x="0" y="0"/>
                      <wp:positionH relativeFrom="character">
                        <wp:align>left</wp:align>
                      </wp:positionH>
                      <wp:positionV relativeFrom="line">
                        <wp:posOffset>635</wp:posOffset>
                      </wp:positionV>
                      <wp:extent cx="219710" cy="175260"/>
                      <wp:effectExtent l="0" t="0" r="0" b="0"/>
                      <wp:wrapNone/>
                      <wp:docPr id="76" name="Frame76"/>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8">
                      <wp:simplePos x="0" y="0"/>
                      <wp:positionH relativeFrom="character">
                        <wp:align>left</wp:align>
                      </wp:positionH>
                      <wp:positionV relativeFrom="line">
                        <wp:posOffset>635</wp:posOffset>
                      </wp:positionV>
                      <wp:extent cx="143510" cy="175260"/>
                      <wp:effectExtent l="0" t="0" r="0" b="0"/>
                      <wp:wrapNone/>
                      <wp:docPr id="77" name="Frame77"/>
                      <a:graphic xmlns:a="http://schemas.openxmlformats.org/drawingml/2006/main">
                        <a:graphicData uri="http://schemas.microsoft.com/office/word/2010/wordprocessingShape">
                          <wps:wsp>
                            <wps:cNvSpPr txBox="1"/>
                            <wps:spPr>
                              <a:xfrm>
                                <a:off x="0" y="0"/>
                                <a:ext cx="1435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3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9">
                      <wp:simplePos x="0" y="0"/>
                      <wp:positionH relativeFrom="character">
                        <wp:align>left</wp:align>
                      </wp:positionH>
                      <wp:positionV relativeFrom="line">
                        <wp:posOffset>635</wp:posOffset>
                      </wp:positionV>
                      <wp:extent cx="532765" cy="175260"/>
                      <wp:effectExtent l="0" t="0" r="0" b="0"/>
                      <wp:wrapNone/>
                      <wp:docPr id="78" name="Frame78"/>
                      <a:graphic xmlns:a="http://schemas.openxmlformats.org/drawingml/2006/main">
                        <a:graphicData uri="http://schemas.microsoft.com/office/word/2010/wordprocessingShape">
                          <wps:wsp>
                            <wps:cNvSpPr txBox="1"/>
                            <wps:spPr>
                              <a:xfrm>
                                <a:off x="0" y="0"/>
                                <a:ext cx="53276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1.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157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305" w:type="dxa"/>
            <w:gridSpan w:val="2"/>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December 31, </w:t>
            </w:r>
          </w:p>
        </w:tc>
        <w:tc>
          <w:tcPr>
            <w:tcW w:w="346" w:type="dxa"/>
            <w:tcBorders/>
            <w:vAlign w:val="center"/>
          </w:tcPr>
          <w:p>
            <w:pPr>
              <w:pStyle w:val="TableContents"/>
              <w:bidi w:val="0"/>
              <w:spacing w:before="0" w:after="0"/>
              <w:ind w:left="0" w:right="0" w:hanging="0"/>
              <w:jc w:val="left"/>
              <w:rPr/>
            </w:pPr>
            <w:r>
              <w:rPr/>
              <w:t>​</w:t>
            </w:r>
          </w:p>
        </w:tc>
        <w:tc>
          <w:tcPr>
            <w:tcW w:w="1065" w:type="dxa"/>
            <w:gridSpan w:val="2"/>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March 31, </w:t>
            </w:r>
          </w:p>
        </w:tc>
      </w:tr>
      <w:tr>
        <w:trPr/>
        <w:tc>
          <w:tcPr>
            <w:tcW w:w="157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 ​ ​</w:t>
            </w:r>
          </w:p>
        </w:tc>
        <w:tc>
          <w:tcPr>
            <w:tcW w:w="130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2025</w:t>
            </w:r>
          </w:p>
        </w:tc>
        <w:tc>
          <w:tcPr>
            <w:tcW w:w="346" w:type="dxa"/>
            <w:tcBorders/>
            <w:vAlign w:val="center"/>
          </w:tcPr>
          <w:p>
            <w:pPr>
              <w:pStyle w:val="TableContents"/>
              <w:bidi w:val="0"/>
              <w:spacing w:before="0" w:after="0"/>
              <w:ind w:left="0" w:right="0" w:hanging="0"/>
              <w:jc w:val="left"/>
              <w:rPr/>
            </w:pPr>
            <w:r>
              <w:rPr/>
              <w:t>  ​ ​ ​</w:t>
            </w:r>
          </w:p>
        </w:tc>
        <w:tc>
          <w:tcPr>
            <w:tcW w:w="106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2026</w:t>
            </w:r>
          </w:p>
        </w:tc>
      </w:tr>
      <w:tr>
        <w:trPr/>
        <w:tc>
          <w:tcPr>
            <w:tcW w:w="4638" w:type="dxa"/>
            <w:gridSpan w:val="7"/>
            <w:tcBorders/>
            <w:vAlign w:val="center"/>
          </w:tcPr>
          <w:p>
            <w:pPr>
              <w:pStyle w:val="TableContents"/>
              <w:bidi w:val="0"/>
              <w:spacing w:before="0" w:after="283"/>
              <w:ind w:left="0" w:right="0" w:hanging="0"/>
              <w:jc w:val="left"/>
              <w:rPr>
                <w:sz w:val="4"/>
                <w:szCs w:val="4"/>
              </w:rPr>
            </w:pPr>
            <w:r>
              <w:rPr>
                <w:sz w:val="4"/>
                <w:szCs w:val="4"/>
              </w:rPr>
            </w:r>
          </w:p>
        </w:tc>
      </w:tr>
      <w:tr>
        <w:trPr/>
        <w:tc>
          <w:tcPr>
            <w:tcW w:w="157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716" w:type="dxa"/>
            <w:gridSpan w:val="5"/>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(In thousands)</w:t>
            </w:r>
          </w:p>
        </w:tc>
      </w:tr>
      <w:tr>
        <w:trPr/>
        <w:tc>
          <w:tcPr>
            <w:tcW w:w="157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Raw materials</w:t>
            </w:r>
          </w:p>
        </w:tc>
        <w:tc>
          <w:tcPr>
            <w:tcW w:w="346" w:type="dxa"/>
            <w:tcBorders/>
            <w:shd w:fill="CCEEFF" w:val="clear"/>
            <w:vAlign w:val="center"/>
          </w:tcPr>
          <w:p>
            <w:pPr>
              <w:pStyle w:val="TableContents"/>
              <w:bidi w:val="0"/>
              <w:spacing w:before="0" w:after="0"/>
              <w:ind w:left="0" w:right="0" w:hanging="0"/>
              <w:jc w:val="left"/>
              <w:rPr/>
            </w:pPr>
            <w:r>
              <w:rPr/>
              <w:t>​</w:t>
            </w:r>
          </w:p>
        </w:tc>
        <w:tc>
          <w:tcPr>
            <w:tcW w:w="31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9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5,620</w:t>
            </w:r>
          </w:p>
        </w:tc>
        <w:tc>
          <w:tcPr>
            <w:tcW w:w="346" w:type="dxa"/>
            <w:tcBorders/>
            <w:shd w:fill="CCEEFF" w:val="clear"/>
            <w:vAlign w:val="center"/>
          </w:tcPr>
          <w:p>
            <w:pPr>
              <w:pStyle w:val="TableContents"/>
              <w:bidi w:val="0"/>
              <w:spacing w:before="0" w:after="0"/>
              <w:ind w:left="0" w:right="0" w:hanging="0"/>
              <w:jc w:val="left"/>
              <w:rPr/>
            </w:pPr>
            <w:r>
              <w:rPr/>
              <w:t>​</w:t>
            </w:r>
          </w:p>
        </w:tc>
        <w:tc>
          <w:tcPr>
            <w:tcW w:w="226"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839"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5,343</w:t>
            </w:r>
          </w:p>
        </w:tc>
      </w:tr>
      <w:tr>
        <w:trPr/>
        <w:tc>
          <w:tcPr>
            <w:tcW w:w="157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Work in process</w:t>
            </w:r>
          </w:p>
        </w:tc>
        <w:tc>
          <w:tcPr>
            <w:tcW w:w="346" w:type="dxa"/>
            <w:tcBorders/>
            <w:vAlign w:val="center"/>
          </w:tcPr>
          <w:p>
            <w:pPr>
              <w:pStyle w:val="TableContents"/>
              <w:bidi w:val="0"/>
              <w:spacing w:before="0" w:after="0"/>
              <w:ind w:left="0" w:right="0" w:hanging="0"/>
              <w:jc w:val="left"/>
              <w:rPr/>
            </w:pPr>
            <w:r>
              <w:rPr/>
              <w:t>​</w:t>
            </w:r>
          </w:p>
        </w:tc>
        <w:tc>
          <w:tcPr>
            <w:tcW w:w="310" w:type="dxa"/>
            <w:tcBorders/>
            <w:vAlign w:val="center"/>
          </w:tcPr>
          <w:p>
            <w:pPr>
              <w:pStyle w:val="TableContents"/>
              <w:bidi w:val="0"/>
              <w:spacing w:before="0" w:after="0"/>
              <w:ind w:left="0" w:right="0" w:hanging="0"/>
              <w:jc w:val="left"/>
              <w:rPr/>
            </w:pPr>
            <w:r>
              <w:rPr/>
              <w:t> </w:t>
            </w:r>
          </w:p>
        </w:tc>
        <w:tc>
          <w:tcPr>
            <w:tcW w:w="995"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19,907</w:t>
            </w:r>
          </w:p>
        </w:tc>
        <w:tc>
          <w:tcPr>
            <w:tcW w:w="346"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left"/>
              <w:rPr/>
            </w:pPr>
            <w:r>
              <w:rPr/>
              <w:t> </w:t>
            </w:r>
          </w:p>
        </w:tc>
        <w:tc>
          <w:tcPr>
            <w:tcW w:w="839" w:type="dxa"/>
            <w:tcBorders/>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20,324</w:t>
            </w:r>
          </w:p>
        </w:tc>
      </w:tr>
      <w:tr>
        <w:trPr/>
        <w:tc>
          <w:tcPr>
            <w:tcW w:w="157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Finished products</w:t>
            </w:r>
          </w:p>
        </w:tc>
        <w:tc>
          <w:tcPr>
            <w:tcW w:w="346" w:type="dxa"/>
            <w:tcBorders/>
            <w:shd w:fill="CCEEFF" w:val="clear"/>
            <w:vAlign w:val="center"/>
          </w:tcPr>
          <w:p>
            <w:pPr>
              <w:pStyle w:val="TableContents"/>
              <w:bidi w:val="0"/>
              <w:spacing w:before="0" w:after="0"/>
              <w:ind w:left="0" w:right="0" w:hanging="0"/>
              <w:jc w:val="left"/>
              <w:rPr/>
            </w:pPr>
            <w:r>
              <w:rPr/>
              <w:t>​</w:t>
            </w:r>
          </w:p>
        </w:tc>
        <w:tc>
          <w:tcPr>
            <w:tcW w:w="31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99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4,883</w:t>
            </w:r>
          </w:p>
        </w:tc>
        <w:tc>
          <w:tcPr>
            <w:tcW w:w="346" w:type="dxa"/>
            <w:tcBorders/>
            <w:shd w:fill="CCEEFF" w:val="clear"/>
            <w:vAlign w:val="center"/>
          </w:tcPr>
          <w:p>
            <w:pPr>
              <w:pStyle w:val="TableContents"/>
              <w:bidi w:val="0"/>
              <w:spacing w:before="0" w:after="0"/>
              <w:ind w:left="0" w:right="0" w:hanging="0"/>
              <w:jc w:val="left"/>
              <w:rPr/>
            </w:pPr>
            <w:r>
              <w:rPr/>
              <w:t>​</w:t>
            </w:r>
          </w:p>
        </w:tc>
        <w:tc>
          <w:tcPr>
            <w:tcW w:w="22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839"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4,403</w:t>
            </w:r>
          </w:p>
        </w:tc>
      </w:tr>
      <w:tr>
        <w:trPr/>
        <w:tc>
          <w:tcPr>
            <w:tcW w:w="157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w:t>
            </w:r>
          </w:p>
        </w:tc>
        <w:tc>
          <w:tcPr>
            <w:tcW w:w="346" w:type="dxa"/>
            <w:tcBorders/>
            <w:vAlign w:val="center"/>
          </w:tcPr>
          <w:p>
            <w:pPr>
              <w:pStyle w:val="TableContents"/>
              <w:bidi w:val="0"/>
              <w:spacing w:before="0" w:after="0"/>
              <w:ind w:left="0" w:right="0" w:hanging="0"/>
              <w:jc w:val="left"/>
              <w:rPr/>
            </w:pPr>
            <w:r>
              <w:rPr/>
              <w:t>​</w:t>
            </w:r>
          </w:p>
        </w:tc>
        <w:tc>
          <w:tcPr>
            <w:tcW w:w="310"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95"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30,410</w:t>
            </w:r>
          </w:p>
        </w:tc>
        <w:tc>
          <w:tcPr>
            <w:tcW w:w="346" w:type="dxa"/>
            <w:tcBorders/>
            <w:vAlign w:val="center"/>
          </w:tcPr>
          <w:p>
            <w:pPr>
              <w:pStyle w:val="TableContents"/>
              <w:bidi w:val="0"/>
              <w:spacing w:before="0" w:after="0"/>
              <w:ind w:left="0" w:right="0" w:hanging="0"/>
              <w:jc w:val="left"/>
              <w:rPr/>
            </w:pPr>
            <w:r>
              <w:rPr/>
              <w:t>​</w:t>
            </w:r>
          </w:p>
        </w:tc>
        <w:tc>
          <w:tcPr>
            <w:tcW w:w="226"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839" w:type="dxa"/>
            <w:tcBorders>
              <w:bottom w:val="double" w:sz="6" w:space="0" w:color="000000"/>
            </w:tcBorders>
            <w:tcMar>
              <w:bottom w:w="28" w:type="dxa"/>
            </w:tcMar>
            <w:vAlign w:val="center"/>
          </w:tcPr>
          <w:p>
            <w:pPr>
              <w:pStyle w:val="TableContents"/>
              <w:bidi w:val="0"/>
              <w:spacing w:before="0" w:after="0"/>
              <w:ind w:left="0" w:right="60" w:hanging="0"/>
              <w:jc w:val="right"/>
              <w:rPr>
                <w:rFonts w:ascii="Times New Roman;Times;serif" w:hAnsi="Times New Roman;Times;serif"/>
                <w:b/>
                <w:sz w:val="20"/>
              </w:rPr>
            </w:pPr>
            <w:r>
              <w:rPr>
                <w:rFonts w:ascii="Times New Roman;Times;serif" w:hAnsi="Times New Roman;Times;serif"/>
                <w:b/>
                <w:sz w:val="20"/>
              </w:rPr>
              <w:t>30,070</w:t>
            </w:r>
          </w:p>
        </w:tc>
      </w:tr>
    </w:tbl>
    <w:p>
      <w:pPr>
        <w:pStyle w:val="TextBody"/>
        <w:bidi w:val="0"/>
        <w:spacing w:before="0" w:after="0"/>
        <w:ind w:left="0" w:right="0" w:hanging="0"/>
        <w:jc w:val="left"/>
        <w:rPr/>
      </w:pPr>
      <w:r>
        <w:rPr/>
        <w:t>​</w:t>
      </w:r>
    </w:p>
    <w:p>
      <w:pPr>
        <w:pStyle w:val="TextBody"/>
        <w:bidi w:val="0"/>
        <w:spacing w:before="0" w:after="240"/>
        <w:ind w:left="0" w:right="0" w:hanging="0"/>
        <w:jc w:val="both"/>
        <w:rPr/>
      </w:pPr>
      <w:r>
        <w:rPr/>
        <w:t>​</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10</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sz w:val="20"/>
        </w:rPr>
      </w:pPr>
      <w:bookmarkStart w:id="624" w:name="Tc_5JwBS-QvSkOkLEcQG4E7GA_9_10"/>
      <w:bookmarkStart w:id="625" w:name="Tc_XLhddTs4HU20bydqR1eAfw_9_7"/>
      <w:bookmarkStart w:id="626" w:name="Tc_WhwpT5aavU64TG6gYdK99g_9_4"/>
      <w:bookmarkStart w:id="627" w:name="Tc_1pmKwCZ4y06Y-ItnpaSqeg_9_2"/>
      <w:bookmarkStart w:id="628" w:name="Tc_1IymjaTpMUmKq2a3xaLJqQ_9_0"/>
      <w:bookmarkStart w:id="629" w:name="Tc_xswg-oL8EEWSFlfoLX7IGg_8_0"/>
      <w:bookmarkStart w:id="630" w:name="Tc_tjxGs6wVF0WiQFPo-TOK0w_6_10"/>
      <w:bookmarkStart w:id="631" w:name="Tc_KOS9pqJYrkSoFbAKFdBBSA_6_7"/>
      <w:bookmarkStart w:id="632" w:name="Tc_2fGynnCpgkOORxJ84LlCCg_6_4"/>
      <w:bookmarkStart w:id="633" w:name="Tc_jPo31W0uWUm74WTc2uLQgA_6_2"/>
      <w:bookmarkStart w:id="634" w:name="Tc_eZ7ov_CJyU6PF_HRC-IjWA_6_0"/>
      <w:bookmarkStart w:id="635" w:name="Tc_7taC8_kemkaTFdtdd8OzYQ_5_0"/>
      <w:bookmarkStart w:id="636" w:name="Tc_Lk_QhvVx70mVKzAocY6X-A_4_4"/>
      <w:bookmarkStart w:id="637" w:name="Tc_Bknhs8584UeDJnjf4_lMmg_3_10"/>
      <w:bookmarkStart w:id="638" w:name="Tc_T__aS4HjBk2-IqJdJnAn3Q_3_7"/>
      <w:bookmarkStart w:id="639" w:name="Tc_03OHwxwoo0iFtQtoOmWpHg_3_4"/>
      <w:bookmarkStart w:id="640" w:name="Tc_c9knAtX_SkuDzMzQJyDwtQ_3_2"/>
      <w:bookmarkStart w:id="641" w:name="Tc_1TcdYhh5KUagXRcH1Ygprw_2_10"/>
      <w:bookmarkStart w:id="642" w:name="Tc_SxCxeRCI_k63ED5zigz2SA_2_7"/>
      <w:bookmarkStart w:id="643" w:name="Tc_7PaVrSNkOUGFkyYvU_jvSw_2_4"/>
      <w:bookmarkStart w:id="644" w:name="Tc_Yj58hzAw-UenZBohH9UImw_2_2"/>
      <w:bookmarkStart w:id="645" w:name="Tc_Zxg04mjmg0u8XZLA3Pmd6A_1_2"/>
      <w:bookmarkEnd w:id="624"/>
      <w:bookmarkEnd w:id="625"/>
      <w:bookmarkEnd w:id="626"/>
      <w:bookmarkEnd w:id="627"/>
      <w:bookmarkEnd w:id="628"/>
      <w:bookmarkEnd w:id="629"/>
      <w:bookmarkEnd w:id="630"/>
      <w:bookmarkEnd w:id="631"/>
      <w:bookmarkEnd w:id="632"/>
      <w:bookmarkEnd w:id="633"/>
      <w:bookmarkEnd w:id="634"/>
      <w:bookmarkEnd w:id="635"/>
      <w:bookmarkEnd w:id="636"/>
      <w:bookmarkEnd w:id="637"/>
      <w:bookmarkEnd w:id="638"/>
      <w:bookmarkEnd w:id="639"/>
      <w:bookmarkEnd w:id="640"/>
      <w:bookmarkEnd w:id="641"/>
      <w:bookmarkEnd w:id="642"/>
      <w:bookmarkEnd w:id="643"/>
      <w:bookmarkEnd w:id="644"/>
      <w:bookmarkEnd w:id="645"/>
      <w:r>
        <w:rPr>
          <w:rFonts w:ascii="Times New Roman;Times;serif" w:hAnsi="Times New Roman;Times;serif"/>
          <w:b/>
          <w:sz w:val="20"/>
        </w:rPr>
        <w:t>Note 5 – Marketable securities: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 xml:space="preserve">Our noncurrent marketable securities are equity securities and consist of our investment in the publicly-traded shares of our immediate parent company Valhi, Inc. Our shares of Valhi common stock are accounted for as available-for-sale securities, which are carried at fair value using quoted market prices in active markets and represent a Level 1 input within the fair value hierarchy, as defined by ASC Topic 820, </w:t>
      </w:r>
      <w:r>
        <w:rPr>
          <w:rFonts w:ascii="Times New Roman;Times;serif" w:hAnsi="Times New Roman;Times;serif"/>
          <w:i/>
          <w:sz w:val="20"/>
        </w:rPr>
        <w:t>Fair Value Measurements and Disclosures</w:t>
      </w:r>
      <w:r>
        <w:rPr>
          <w:rFonts w:ascii="Times New Roman;Times;serif" w:hAnsi="Times New Roman;Times;serif"/>
          <w:sz w:val="20"/>
        </w:rPr>
        <w:t>. We record any unrealized gains or losses on the securities in other income (expense) on our Condensed Consolidated Statements of Operations.</w:t>
      </w:r>
    </w:p>
    <w:p>
      <w:pPr>
        <w:pStyle w:val="TextBody"/>
        <w:bidi w:val="0"/>
        <w:spacing w:before="0" w:after="0"/>
        <w:ind w:left="0" w:right="0" w:hanging="0"/>
        <w:jc w:val="left"/>
        <w:rPr/>
      </w:pPr>
      <w:r>
        <w:rPr/>
        <w:t>​</w:t>
      </w:r>
    </w:p>
    <w:tbl>
      <w:tblPr>
        <w:tblW w:w="8861" w:type="dxa"/>
        <w:jc w:val="left"/>
        <w:tblInd w:w="0" w:type="dxa"/>
        <w:tblLayout w:type="fixed"/>
        <w:tblCellMar>
          <w:top w:w="0" w:type="dxa"/>
          <w:left w:w="0" w:type="dxa"/>
          <w:bottom w:w="0" w:type="dxa"/>
          <w:right w:w="0" w:type="dxa"/>
        </w:tblCellMar>
      </w:tblPr>
      <w:tblGrid>
        <w:gridCol w:w="3376"/>
        <w:gridCol w:w="346"/>
        <w:gridCol w:w="1246"/>
        <w:gridCol w:w="346"/>
        <w:gridCol w:w="211"/>
        <w:gridCol w:w="676"/>
        <w:gridCol w:w="346"/>
        <w:gridCol w:w="211"/>
        <w:gridCol w:w="676"/>
        <w:gridCol w:w="346"/>
        <w:gridCol w:w="257"/>
        <w:gridCol w:w="824"/>
      </w:tblGrid>
      <w:tr>
        <w:trPr/>
        <w:tc>
          <w:tcPr>
            <w:tcW w:w="33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0">
                      <wp:simplePos x="0" y="0"/>
                      <wp:positionH relativeFrom="character">
                        <wp:align>left</wp:align>
                      </wp:positionH>
                      <wp:positionV relativeFrom="line">
                        <wp:posOffset>635</wp:posOffset>
                      </wp:positionV>
                      <wp:extent cx="2143760" cy="175260"/>
                      <wp:effectExtent l="0" t="0" r="0" b="0"/>
                      <wp:wrapNone/>
                      <wp:docPr id="79" name="Frame79"/>
                      <a:graphic xmlns:a="http://schemas.openxmlformats.org/drawingml/2006/main">
                        <a:graphicData uri="http://schemas.microsoft.com/office/word/2010/wordprocessingShape">
                          <wps:wsp>
                            <wps:cNvSpPr txBox="1"/>
                            <wps:spPr>
                              <a:xfrm>
                                <a:off x="0" y="0"/>
                                <a:ext cx="21437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8.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1">
                      <wp:simplePos x="0" y="0"/>
                      <wp:positionH relativeFrom="character">
                        <wp:align>left</wp:align>
                      </wp:positionH>
                      <wp:positionV relativeFrom="line">
                        <wp:posOffset>635</wp:posOffset>
                      </wp:positionV>
                      <wp:extent cx="219710" cy="175260"/>
                      <wp:effectExtent l="0" t="0" r="0" b="0"/>
                      <wp:wrapNone/>
                      <wp:docPr id="80" name="Frame80"/>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2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2">
                      <wp:simplePos x="0" y="0"/>
                      <wp:positionH relativeFrom="character">
                        <wp:align>left</wp:align>
                      </wp:positionH>
                      <wp:positionV relativeFrom="line">
                        <wp:posOffset>635</wp:posOffset>
                      </wp:positionV>
                      <wp:extent cx="791210" cy="175260"/>
                      <wp:effectExtent l="0" t="0" r="0" b="0"/>
                      <wp:wrapNone/>
                      <wp:docPr id="81" name="Frame81"/>
                      <a:graphic xmlns:a="http://schemas.openxmlformats.org/drawingml/2006/main">
                        <a:graphicData uri="http://schemas.microsoft.com/office/word/2010/wordprocessingShape">
                          <wps:wsp>
                            <wps:cNvSpPr txBox="1"/>
                            <wps:spPr>
                              <a:xfrm>
                                <a:off x="0" y="0"/>
                                <a:ext cx="7912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2.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3">
                      <wp:simplePos x="0" y="0"/>
                      <wp:positionH relativeFrom="character">
                        <wp:align>left</wp:align>
                      </wp:positionH>
                      <wp:positionV relativeFrom="line">
                        <wp:posOffset>635</wp:posOffset>
                      </wp:positionV>
                      <wp:extent cx="219710" cy="175260"/>
                      <wp:effectExtent l="0" t="0" r="0" b="0"/>
                      <wp:wrapNone/>
                      <wp:docPr id="82" name="Frame82"/>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4">
                      <wp:simplePos x="0" y="0"/>
                      <wp:positionH relativeFrom="character">
                        <wp:align>left</wp:align>
                      </wp:positionH>
                      <wp:positionV relativeFrom="line">
                        <wp:posOffset>635</wp:posOffset>
                      </wp:positionV>
                      <wp:extent cx="133985" cy="175260"/>
                      <wp:effectExtent l="0" t="0" r="0" b="0"/>
                      <wp:wrapNone/>
                      <wp:docPr id="83" name="Frame83"/>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5">
                      <wp:simplePos x="0" y="0"/>
                      <wp:positionH relativeFrom="character">
                        <wp:align>left</wp:align>
                      </wp:positionH>
                      <wp:positionV relativeFrom="line">
                        <wp:posOffset>635</wp:posOffset>
                      </wp:positionV>
                      <wp:extent cx="429260" cy="175260"/>
                      <wp:effectExtent l="0" t="0" r="0" b="0"/>
                      <wp:wrapNone/>
                      <wp:docPr id="84" name="Frame84"/>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6">
                      <wp:simplePos x="0" y="0"/>
                      <wp:positionH relativeFrom="character">
                        <wp:align>left</wp:align>
                      </wp:positionH>
                      <wp:positionV relativeFrom="line">
                        <wp:posOffset>635</wp:posOffset>
                      </wp:positionV>
                      <wp:extent cx="219710" cy="175260"/>
                      <wp:effectExtent l="0" t="0" r="0" b="0"/>
                      <wp:wrapNone/>
                      <wp:docPr id="85" name="Frame85"/>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7">
                      <wp:simplePos x="0" y="0"/>
                      <wp:positionH relativeFrom="character">
                        <wp:align>left</wp:align>
                      </wp:positionH>
                      <wp:positionV relativeFrom="line">
                        <wp:posOffset>635</wp:posOffset>
                      </wp:positionV>
                      <wp:extent cx="133985" cy="175260"/>
                      <wp:effectExtent l="0" t="0" r="0" b="0"/>
                      <wp:wrapNone/>
                      <wp:docPr id="86" name="Frame86"/>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8">
                      <wp:simplePos x="0" y="0"/>
                      <wp:positionH relativeFrom="character">
                        <wp:align>left</wp:align>
                      </wp:positionH>
                      <wp:positionV relativeFrom="line">
                        <wp:posOffset>635</wp:posOffset>
                      </wp:positionV>
                      <wp:extent cx="429260" cy="175260"/>
                      <wp:effectExtent l="0" t="0" r="0" b="0"/>
                      <wp:wrapNone/>
                      <wp:docPr id="87" name="Frame87"/>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9">
                      <wp:simplePos x="0" y="0"/>
                      <wp:positionH relativeFrom="character">
                        <wp:align>left</wp:align>
                      </wp:positionH>
                      <wp:positionV relativeFrom="line">
                        <wp:posOffset>635</wp:posOffset>
                      </wp:positionV>
                      <wp:extent cx="219710" cy="175260"/>
                      <wp:effectExtent l="0" t="0" r="0" b="0"/>
                      <wp:wrapNone/>
                      <wp:docPr id="88" name="Frame88"/>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5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0">
                      <wp:simplePos x="0" y="0"/>
                      <wp:positionH relativeFrom="character">
                        <wp:align>left</wp:align>
                      </wp:positionH>
                      <wp:positionV relativeFrom="line">
                        <wp:posOffset>635</wp:posOffset>
                      </wp:positionV>
                      <wp:extent cx="163195" cy="175260"/>
                      <wp:effectExtent l="0" t="0" r="0" b="0"/>
                      <wp:wrapNone/>
                      <wp:docPr id="89" name="Frame89"/>
                      <a:graphic xmlns:a="http://schemas.openxmlformats.org/drawingml/2006/main">
                        <a:graphicData uri="http://schemas.microsoft.com/office/word/2010/wordprocessingShape">
                          <wps:wsp>
                            <wps:cNvSpPr txBox="1"/>
                            <wps:spPr>
                              <a:xfrm>
                                <a:off x="0" y="0"/>
                                <a:ext cx="16319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2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1">
                      <wp:simplePos x="0" y="0"/>
                      <wp:positionH relativeFrom="character">
                        <wp:align>left</wp:align>
                      </wp:positionH>
                      <wp:positionV relativeFrom="line">
                        <wp:posOffset>635</wp:posOffset>
                      </wp:positionV>
                      <wp:extent cx="523240" cy="175260"/>
                      <wp:effectExtent l="0" t="0" r="0" b="0"/>
                      <wp:wrapNone/>
                      <wp:docPr id="90" name="Frame90"/>
                      <a:graphic xmlns:a="http://schemas.openxmlformats.org/drawingml/2006/main">
                        <a:graphicData uri="http://schemas.microsoft.com/office/word/2010/wordprocessingShape">
                          <wps:wsp>
                            <wps:cNvSpPr txBox="1"/>
                            <wps:spPr>
                              <a:xfrm>
                                <a:off x="0" y="0"/>
                                <a:ext cx="52324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1.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337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1246" w:type="dxa"/>
            <w:tcBorders/>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Fair value</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676"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left"/>
              <w:rPr/>
            </w:pPr>
            <w:r>
              <w:rPr/>
              <w:t>​</w:t>
            </w:r>
          </w:p>
        </w:tc>
        <w:tc>
          <w:tcPr>
            <w:tcW w:w="887" w:type="dxa"/>
            <w:gridSpan w:val="2"/>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left"/>
              <w:rPr/>
            </w:pPr>
            <w:r>
              <w:rPr/>
              <w:t>​</w:t>
            </w:r>
          </w:p>
        </w:tc>
        <w:tc>
          <w:tcPr>
            <w:tcW w:w="257" w:type="dxa"/>
            <w:tcBorders/>
            <w:vAlign w:val="center"/>
          </w:tcPr>
          <w:p>
            <w:pPr>
              <w:pStyle w:val="TableContents"/>
              <w:bidi w:val="0"/>
              <w:spacing w:before="0" w:after="1"/>
              <w:ind w:left="0" w:right="0" w:hanging="0"/>
              <w:jc w:val="left"/>
              <w:rPr/>
            </w:pPr>
            <w:r>
              <w:rPr/>
              <w:t>​</w:t>
            </w:r>
          </w:p>
        </w:tc>
        <w:tc>
          <w:tcPr>
            <w:tcW w:w="824" w:type="dxa"/>
            <w:tcBorders/>
            <w:vAlign w:val="center"/>
          </w:tcPr>
          <w:p>
            <w:pPr>
              <w:pStyle w:val="TableContents"/>
              <w:bidi w:val="0"/>
              <w:spacing w:before="0" w:after="1"/>
              <w:ind w:left="0" w:right="0" w:hanging="0"/>
              <w:jc w:val="center"/>
              <w:rPr/>
            </w:pPr>
            <w:r>
              <w:rPr/>
              <w:t>​</w:t>
            </w:r>
          </w:p>
        </w:tc>
      </w:tr>
      <w:tr>
        <w:trPr/>
        <w:tc>
          <w:tcPr>
            <w:tcW w:w="337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1246" w:type="dxa"/>
            <w:tcBorders/>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measurement</w:t>
            </w:r>
          </w:p>
        </w:tc>
        <w:tc>
          <w:tcPr>
            <w:tcW w:w="346" w:type="dxa"/>
            <w:tcBorders/>
            <w:vAlign w:val="center"/>
          </w:tcPr>
          <w:p>
            <w:pPr>
              <w:pStyle w:val="TableContents"/>
              <w:bidi w:val="0"/>
              <w:spacing w:before="0" w:after="1"/>
              <w:ind w:left="0" w:right="0" w:hanging="0"/>
              <w:jc w:val="left"/>
              <w:rPr/>
            </w:pPr>
            <w:r>
              <w:rPr/>
              <w:t>​</w:t>
            </w:r>
          </w:p>
        </w:tc>
        <w:tc>
          <w:tcPr>
            <w:tcW w:w="887" w:type="dxa"/>
            <w:gridSpan w:val="2"/>
            <w:tcBorders/>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Market</w:t>
            </w:r>
          </w:p>
        </w:tc>
        <w:tc>
          <w:tcPr>
            <w:tcW w:w="346" w:type="dxa"/>
            <w:tcBorders/>
            <w:vAlign w:val="center"/>
          </w:tcPr>
          <w:p>
            <w:pPr>
              <w:pStyle w:val="TableContents"/>
              <w:bidi w:val="0"/>
              <w:spacing w:before="0" w:after="1"/>
              <w:ind w:left="0" w:right="0" w:hanging="0"/>
              <w:jc w:val="left"/>
              <w:rPr/>
            </w:pPr>
            <w:r>
              <w:rPr/>
              <w:t>​</w:t>
            </w:r>
          </w:p>
        </w:tc>
        <w:tc>
          <w:tcPr>
            <w:tcW w:w="887" w:type="dxa"/>
            <w:gridSpan w:val="2"/>
            <w:tcBorders/>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Cost</w:t>
            </w:r>
          </w:p>
        </w:tc>
        <w:tc>
          <w:tcPr>
            <w:tcW w:w="346" w:type="dxa"/>
            <w:tcBorders/>
            <w:vAlign w:val="center"/>
          </w:tcPr>
          <w:p>
            <w:pPr>
              <w:pStyle w:val="TableContents"/>
              <w:bidi w:val="0"/>
              <w:spacing w:before="0" w:after="1"/>
              <w:ind w:left="0" w:right="0" w:hanging="0"/>
              <w:jc w:val="left"/>
              <w:rPr/>
            </w:pPr>
            <w:r>
              <w:rPr/>
              <w:t>​</w:t>
            </w:r>
          </w:p>
        </w:tc>
        <w:tc>
          <w:tcPr>
            <w:tcW w:w="1081" w:type="dxa"/>
            <w:gridSpan w:val="2"/>
            <w:tcBorders/>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Unrealized</w:t>
            </w:r>
          </w:p>
        </w:tc>
      </w:tr>
      <w:tr>
        <w:trPr/>
        <w:tc>
          <w:tcPr>
            <w:tcW w:w="337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  ​ ​ ​</w:t>
            </w:r>
          </w:p>
        </w:tc>
        <w:tc>
          <w:tcPr>
            <w:tcW w:w="1246"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level</w:t>
            </w:r>
          </w:p>
        </w:tc>
        <w:tc>
          <w:tcPr>
            <w:tcW w:w="346" w:type="dxa"/>
            <w:tcBorders/>
            <w:vAlign w:val="center"/>
          </w:tcPr>
          <w:p>
            <w:pPr>
              <w:pStyle w:val="TableContents"/>
              <w:bidi w:val="0"/>
              <w:spacing w:before="0" w:after="1"/>
              <w:ind w:left="0" w:right="0" w:hanging="0"/>
              <w:jc w:val="left"/>
              <w:rPr/>
            </w:pPr>
            <w:r>
              <w:rPr/>
              <w:t>  ​ ​ ​</w:t>
            </w:r>
          </w:p>
        </w:tc>
        <w:tc>
          <w:tcPr>
            <w:tcW w:w="88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value</w:t>
            </w:r>
          </w:p>
        </w:tc>
        <w:tc>
          <w:tcPr>
            <w:tcW w:w="346" w:type="dxa"/>
            <w:tcBorders/>
            <w:vAlign w:val="center"/>
          </w:tcPr>
          <w:p>
            <w:pPr>
              <w:pStyle w:val="TableContents"/>
              <w:bidi w:val="0"/>
              <w:spacing w:before="0" w:after="1"/>
              <w:ind w:left="0" w:right="0" w:hanging="0"/>
              <w:jc w:val="left"/>
              <w:rPr/>
            </w:pPr>
            <w:r>
              <w:rPr/>
              <w:t>  ​ ​ ​</w:t>
            </w:r>
          </w:p>
        </w:tc>
        <w:tc>
          <w:tcPr>
            <w:tcW w:w="88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basis</w:t>
            </w:r>
          </w:p>
        </w:tc>
        <w:tc>
          <w:tcPr>
            <w:tcW w:w="346" w:type="dxa"/>
            <w:tcBorders/>
            <w:vAlign w:val="center"/>
          </w:tcPr>
          <w:p>
            <w:pPr>
              <w:pStyle w:val="TableContents"/>
              <w:bidi w:val="0"/>
              <w:spacing w:before="0" w:after="1"/>
              <w:ind w:left="0" w:right="0" w:hanging="0"/>
              <w:jc w:val="left"/>
              <w:rPr/>
            </w:pPr>
            <w:r>
              <w:rPr/>
              <w:t>  ​ ​ ​</w:t>
            </w:r>
          </w:p>
        </w:tc>
        <w:tc>
          <w:tcPr>
            <w:tcW w:w="1081"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loss, net</w:t>
            </w:r>
          </w:p>
        </w:tc>
      </w:tr>
      <w:tr>
        <w:trPr/>
        <w:tc>
          <w:tcPr>
            <w:tcW w:w="8861" w:type="dxa"/>
            <w:gridSpan w:val="12"/>
            <w:tcBorders/>
            <w:vAlign w:val="center"/>
          </w:tcPr>
          <w:p>
            <w:pPr>
              <w:pStyle w:val="TableContents"/>
              <w:bidi w:val="0"/>
              <w:spacing w:before="0" w:after="283"/>
              <w:ind w:left="0" w:right="0" w:hanging="0"/>
              <w:jc w:val="left"/>
              <w:rPr>
                <w:sz w:val="4"/>
                <w:szCs w:val="4"/>
              </w:rPr>
            </w:pPr>
            <w:r>
              <w:rPr>
                <w:sz w:val="4"/>
                <w:szCs w:val="4"/>
              </w:rPr>
            </w:r>
          </w:p>
        </w:tc>
      </w:tr>
      <w:tr>
        <w:trPr/>
        <w:tc>
          <w:tcPr>
            <w:tcW w:w="337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1246"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left"/>
              <w:rPr/>
            </w:pPr>
            <w:r>
              <w:rPr/>
              <w:t>​</w:t>
            </w:r>
          </w:p>
        </w:tc>
        <w:tc>
          <w:tcPr>
            <w:tcW w:w="3547" w:type="dxa"/>
            <w:gridSpan w:val="8"/>
            <w:tcBorders/>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(In thousands)</w:t>
            </w:r>
          </w:p>
        </w:tc>
      </w:tr>
      <w:tr>
        <w:trPr/>
        <w:tc>
          <w:tcPr>
            <w:tcW w:w="3376" w:type="dxa"/>
            <w:tcBorders/>
            <w:shd w:fill="CCEEFF" w:val="cle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December 31, 2025</w:t>
            </w:r>
          </w:p>
        </w:tc>
        <w:tc>
          <w:tcPr>
            <w:tcW w:w="346" w:type="dxa"/>
            <w:tcBorders/>
            <w:shd w:fill="CCEEFF" w:val="clear"/>
            <w:vAlign w:val="center"/>
          </w:tcPr>
          <w:p>
            <w:pPr>
              <w:pStyle w:val="TableContents"/>
              <w:bidi w:val="0"/>
              <w:spacing w:before="0" w:after="1"/>
              <w:ind w:left="0" w:right="0" w:hanging="0"/>
              <w:jc w:val="left"/>
              <w:rPr/>
            </w:pPr>
            <w:r>
              <w:rPr/>
              <w:t>​</w:t>
            </w:r>
          </w:p>
        </w:tc>
        <w:tc>
          <w:tcPr>
            <w:tcW w:w="1246"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676"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676"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57" w:type="dxa"/>
            <w:tcBorders/>
            <w:shd w:fill="CCEEFF" w:val="clear"/>
            <w:vAlign w:val="center"/>
          </w:tcPr>
          <w:p>
            <w:pPr>
              <w:pStyle w:val="TableContents"/>
              <w:bidi w:val="0"/>
              <w:spacing w:before="0" w:after="1"/>
              <w:ind w:left="0" w:right="0" w:hanging="0"/>
              <w:jc w:val="left"/>
              <w:rPr/>
            </w:pPr>
            <w:r>
              <w:rPr/>
              <w:t>​</w:t>
            </w:r>
          </w:p>
        </w:tc>
        <w:tc>
          <w:tcPr>
            <w:tcW w:w="824" w:type="dxa"/>
            <w:tcBorders/>
            <w:shd w:fill="CCEEFF" w:val="clear"/>
            <w:vAlign w:val="center"/>
          </w:tcPr>
          <w:p>
            <w:pPr>
              <w:pStyle w:val="TableContents"/>
              <w:bidi w:val="0"/>
              <w:spacing w:before="0" w:after="1"/>
              <w:ind w:left="0" w:right="0" w:hanging="0"/>
              <w:jc w:val="right"/>
              <w:rPr/>
            </w:pPr>
            <w:r>
              <w:rPr/>
              <w:t>​</w:t>
            </w:r>
          </w:p>
        </w:tc>
      </w:tr>
      <w:tr>
        <w:trPr/>
        <w:tc>
          <w:tcPr>
            <w:tcW w:w="337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Noncurrent assets - Valhi common stock</w:t>
            </w:r>
          </w:p>
        </w:tc>
        <w:tc>
          <w:tcPr>
            <w:tcW w:w="346" w:type="dxa"/>
            <w:tcBorders/>
            <w:vAlign w:val="center"/>
          </w:tcPr>
          <w:p>
            <w:pPr>
              <w:pStyle w:val="TableContents"/>
              <w:bidi w:val="0"/>
              <w:spacing w:before="0" w:after="1"/>
              <w:ind w:left="0" w:right="0" w:hanging="0"/>
              <w:jc w:val="left"/>
              <w:rPr/>
            </w:pPr>
            <w:r>
              <w:rPr/>
              <w:t> </w:t>
            </w:r>
          </w:p>
        </w:tc>
        <w:tc>
          <w:tcPr>
            <w:tcW w:w="1246" w:type="dxa"/>
            <w:tcBorders/>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1</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14,433</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24,347</w:t>
            </w:r>
          </w:p>
        </w:tc>
        <w:tc>
          <w:tcPr>
            <w:tcW w:w="346" w:type="dxa"/>
            <w:tcBorders/>
            <w:vAlign w:val="center"/>
          </w:tcPr>
          <w:p>
            <w:pPr>
              <w:pStyle w:val="TableContents"/>
              <w:bidi w:val="0"/>
              <w:spacing w:before="0" w:after="1"/>
              <w:ind w:left="0" w:right="0" w:hanging="0"/>
              <w:jc w:val="left"/>
              <w:rPr/>
            </w:pPr>
            <w:r>
              <w:rPr/>
              <w:t>​</w:t>
            </w:r>
          </w:p>
        </w:tc>
        <w:tc>
          <w:tcPr>
            <w:tcW w:w="257"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24"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(9,914)</w:t>
            </w:r>
          </w:p>
        </w:tc>
      </w:tr>
      <w:tr>
        <w:trPr/>
        <w:tc>
          <w:tcPr>
            <w:tcW w:w="3376"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1246" w:type="dxa"/>
            <w:tcBorders/>
            <w:shd w:fill="CCEEFF" w:val="clear"/>
            <w:vAlign w:val="center"/>
          </w:tcPr>
          <w:p>
            <w:pPr>
              <w:pStyle w:val="TableContents"/>
              <w:bidi w:val="0"/>
              <w:spacing w:before="0" w:after="1"/>
              <w:ind w:left="0" w:right="0" w:hanging="0"/>
              <w:jc w:val="center"/>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676"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676"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57" w:type="dxa"/>
            <w:tcBorders/>
            <w:shd w:fill="CCEEFF" w:val="clear"/>
            <w:vAlign w:val="center"/>
          </w:tcPr>
          <w:p>
            <w:pPr>
              <w:pStyle w:val="TableContents"/>
              <w:bidi w:val="0"/>
              <w:spacing w:before="0" w:after="1"/>
              <w:ind w:left="0" w:right="0" w:hanging="0"/>
              <w:jc w:val="left"/>
              <w:rPr/>
            </w:pPr>
            <w:r>
              <w:rPr/>
              <w:t>​</w:t>
            </w:r>
          </w:p>
        </w:tc>
        <w:tc>
          <w:tcPr>
            <w:tcW w:w="824" w:type="dxa"/>
            <w:tcBorders/>
            <w:shd w:fill="CCEEFF" w:val="clear"/>
            <w:vAlign w:val="center"/>
          </w:tcPr>
          <w:p>
            <w:pPr>
              <w:pStyle w:val="TableContents"/>
              <w:bidi w:val="0"/>
              <w:spacing w:before="0" w:after="1"/>
              <w:ind w:left="0" w:right="0" w:hanging="0"/>
              <w:jc w:val="right"/>
              <w:rPr/>
            </w:pPr>
            <w:r>
              <w:rPr/>
              <w:t>​</w:t>
            </w:r>
          </w:p>
        </w:tc>
      </w:tr>
      <w:tr>
        <w:trPr/>
        <w:tc>
          <w:tcPr>
            <w:tcW w:w="3376" w:type="dxa"/>
            <w:tcBorders/>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March 31, 2026</w:t>
            </w:r>
          </w:p>
        </w:tc>
        <w:tc>
          <w:tcPr>
            <w:tcW w:w="346" w:type="dxa"/>
            <w:tcBorders/>
            <w:vAlign w:val="center"/>
          </w:tcPr>
          <w:p>
            <w:pPr>
              <w:pStyle w:val="TableContents"/>
              <w:bidi w:val="0"/>
              <w:spacing w:before="0" w:after="1"/>
              <w:ind w:left="0" w:right="0" w:hanging="0"/>
              <w:jc w:val="left"/>
              <w:rPr/>
            </w:pPr>
            <w:r>
              <w:rPr/>
              <w:t>​</w:t>
            </w:r>
          </w:p>
        </w:tc>
        <w:tc>
          <w:tcPr>
            <w:tcW w:w="1246"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676"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676"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257" w:type="dxa"/>
            <w:tcBorders/>
            <w:vAlign w:val="center"/>
          </w:tcPr>
          <w:p>
            <w:pPr>
              <w:pStyle w:val="TableContents"/>
              <w:bidi w:val="0"/>
              <w:spacing w:before="0" w:after="1"/>
              <w:ind w:left="0" w:right="0" w:hanging="0"/>
              <w:jc w:val="left"/>
              <w:rPr/>
            </w:pPr>
            <w:r>
              <w:rPr/>
              <w:t>​</w:t>
            </w:r>
          </w:p>
        </w:tc>
        <w:tc>
          <w:tcPr>
            <w:tcW w:w="824" w:type="dxa"/>
            <w:tcBorders/>
            <w:vAlign w:val="center"/>
          </w:tcPr>
          <w:p>
            <w:pPr>
              <w:pStyle w:val="TableContents"/>
              <w:bidi w:val="0"/>
              <w:spacing w:before="0" w:after="1"/>
              <w:ind w:left="0" w:right="0" w:hanging="0"/>
              <w:jc w:val="right"/>
              <w:rPr/>
            </w:pPr>
            <w:r>
              <w:rPr/>
              <w:t>​</w:t>
            </w:r>
          </w:p>
        </w:tc>
      </w:tr>
      <w:tr>
        <w:trPr/>
        <w:tc>
          <w:tcPr>
            <w:tcW w:w="337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Noncurrent assets - Valhi common stock</w:t>
            </w:r>
          </w:p>
        </w:tc>
        <w:tc>
          <w:tcPr>
            <w:tcW w:w="346" w:type="dxa"/>
            <w:tcBorders/>
            <w:shd w:fill="CCEEFF" w:val="clear"/>
            <w:vAlign w:val="center"/>
          </w:tcPr>
          <w:p>
            <w:pPr>
              <w:pStyle w:val="TableContents"/>
              <w:bidi w:val="0"/>
              <w:spacing w:before="0" w:after="1"/>
              <w:ind w:left="0" w:right="0" w:hanging="0"/>
              <w:jc w:val="left"/>
              <w:rPr/>
            </w:pPr>
            <w:r>
              <w:rPr/>
              <w:t>​</w:t>
            </w:r>
          </w:p>
        </w:tc>
        <w:tc>
          <w:tcPr>
            <w:tcW w:w="1246" w:type="dxa"/>
            <w:tcBorders/>
            <w:shd w:fill="CCEEFF" w:val="clear"/>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1</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w:t>
            </w:r>
          </w:p>
        </w:tc>
        <w:tc>
          <w:tcPr>
            <w:tcW w:w="67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17,128</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w:t>
            </w:r>
          </w:p>
        </w:tc>
        <w:tc>
          <w:tcPr>
            <w:tcW w:w="67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24,347</w:t>
            </w:r>
          </w:p>
        </w:tc>
        <w:tc>
          <w:tcPr>
            <w:tcW w:w="346" w:type="dxa"/>
            <w:tcBorders/>
            <w:shd w:fill="CCEEFF" w:val="clear"/>
            <w:vAlign w:val="center"/>
          </w:tcPr>
          <w:p>
            <w:pPr>
              <w:pStyle w:val="TableContents"/>
              <w:bidi w:val="0"/>
              <w:spacing w:before="0" w:after="1"/>
              <w:ind w:left="0" w:right="0" w:hanging="0"/>
              <w:jc w:val="left"/>
              <w:rPr/>
            </w:pPr>
            <w:r>
              <w:rPr/>
              <w:t>​</w:t>
            </w:r>
          </w:p>
        </w:tc>
        <w:tc>
          <w:tcPr>
            <w:tcW w:w="257"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w:t>
            </w:r>
          </w:p>
        </w:tc>
        <w:tc>
          <w:tcPr>
            <w:tcW w:w="824"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(7,219)</w:t>
            </w:r>
          </w:p>
        </w:tc>
      </w:tr>
    </w:tbl>
    <w:p>
      <w:pPr>
        <w:pStyle w:val="TextBody"/>
        <w:bidi w:val="0"/>
        <w:spacing w:before="0" w:after="0"/>
        <w:ind w:left="0" w:right="0" w:hanging="0"/>
        <w:jc w:val="left"/>
        <w:rPr/>
      </w:pPr>
      <w:r>
        <w:rPr/>
        <w:t>​</w:t>
      </w:r>
    </w:p>
    <w:p>
      <w:pPr>
        <w:pStyle w:val="TextBody"/>
        <w:bidi w:val="0"/>
        <w:spacing w:before="240" w:after="240"/>
        <w:ind w:left="0" w:right="0" w:firstLine="720"/>
        <w:jc w:val="both"/>
        <w:rPr>
          <w:rFonts w:ascii="Times New Roman;Times;serif" w:hAnsi="Times New Roman;Times;serif"/>
          <w:sz w:val="20"/>
        </w:rPr>
      </w:pPr>
      <w:r>
        <w:rPr>
          <w:rFonts w:ascii="Times New Roman;Times;serif" w:hAnsi="Times New Roman;Times;serif"/>
          <w:sz w:val="20"/>
        </w:rPr>
        <w:t xml:space="preserve">At December 31, 2025 and March 31, 2026, we held approximately 1.2 million shares of common stock our immediate parent company, Valhi, Inc. At December 31, 2025 and March 31, 2026, the quoted per share market price of Valhi common stock was $12.05 and $14.30, respectively. </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The Valhi common stock we own is subject to restrictions on resale pursuant to certain provisions of the SEC Rule 144. In addition, as a majority-owned subsidiary of Valhi we cannot vote our shares of Valhi common stock under Delaware General Corporation Law, but we do receive dividends from Valhi on these shares, when declared and paid.</w:t>
      </w:r>
    </w:p>
    <w:p>
      <w:pPr>
        <w:pStyle w:val="TextBody"/>
        <w:bidi w:val="0"/>
        <w:spacing w:before="0" w:after="240"/>
        <w:ind w:left="0" w:right="0" w:hanging="0"/>
        <w:jc w:val="left"/>
        <w:rPr>
          <w:rFonts w:ascii="Times New Roman;Times;serif" w:hAnsi="Times New Roman;Times;serif"/>
          <w:b/>
          <w:sz w:val="20"/>
        </w:rPr>
      </w:pPr>
      <w:bookmarkStart w:id="646" w:name="Tc_Hcd_8MptXkaVpUQR_aZs3g_9_2"/>
      <w:bookmarkStart w:id="647" w:name="Tc_RujK5fMhgkOFjnN0TskUnQ_9_0"/>
      <w:bookmarkStart w:id="648" w:name="Tc_vyN7a4wWvEaIp7HUswwMKA_8_0"/>
      <w:bookmarkStart w:id="649" w:name="Tc_yE8b6a935E6Y7vy4BgbanQ_7_0"/>
      <w:bookmarkStart w:id="650" w:name="Tc_-0s9OkaAXUe6NI1fjQQ_eA_6_0"/>
      <w:bookmarkStart w:id="651" w:name="Tc_hnoDEpE3qEuZ2wdftTf7Tw_5_0"/>
      <w:bookmarkStart w:id="652" w:name="Tc_fubNS5_4V0el1pBMgLOcvA_4_0"/>
      <w:bookmarkStart w:id="653" w:name="Tc_qM6XcNs4w0mlUVkOfL2-Uw_3_2"/>
      <w:bookmarkStart w:id="654" w:name="Tc_T9kfmjkUiU-MYC54PPe20Q_3_0"/>
      <w:bookmarkStart w:id="655" w:name="Tc_f5KwTGio2Ea3hAHRbpVRLQ_2_2"/>
      <w:bookmarkStart w:id="656" w:name="Tc_9Oc1it7owkGIH8XlN9enLA_1_2"/>
      <w:bookmarkEnd w:id="646"/>
      <w:bookmarkEnd w:id="647"/>
      <w:bookmarkEnd w:id="648"/>
      <w:bookmarkEnd w:id="649"/>
      <w:bookmarkEnd w:id="650"/>
      <w:bookmarkEnd w:id="651"/>
      <w:bookmarkEnd w:id="652"/>
      <w:bookmarkEnd w:id="653"/>
      <w:bookmarkEnd w:id="654"/>
      <w:bookmarkEnd w:id="655"/>
      <w:bookmarkEnd w:id="656"/>
      <w:r>
        <w:rPr>
          <w:rFonts w:ascii="Times New Roman;Times;serif" w:hAnsi="Times New Roman;Times;serif"/>
          <w:b/>
          <w:sz w:val="20"/>
        </w:rPr>
        <w:t>Note 6 – Investment in Kronos Worldwide, Inc.:</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At December 31, 2025 and March 31, 2026, we owned approximately 35.2 million shares of Kronos common stock. At March 31, 2026, the quoted market price of Kronos’ common stock was $6.57 per share, or an aggregate market value of $231.4 million. At December 31, 2025, the quoted market price was $4.42 per share, or an aggregate market value of $155.7 million.</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The change in the carrying value of our investment in Kronos during the first three months of 2026 is summarized below.</w:t>
      </w:r>
    </w:p>
    <w:p>
      <w:pPr>
        <w:pStyle w:val="TextBody"/>
        <w:bidi w:val="0"/>
        <w:spacing w:before="0" w:after="0"/>
        <w:ind w:left="0" w:right="0" w:hanging="0"/>
        <w:jc w:val="left"/>
        <w:rPr/>
      </w:pPr>
      <w:r>
        <w:rPr/>
        <w:t>​</w:t>
      </w:r>
    </w:p>
    <w:tbl>
      <w:tblPr>
        <w:tblW w:w="5522" w:type="dxa"/>
        <w:jc w:val="left"/>
        <w:tblInd w:w="0" w:type="dxa"/>
        <w:tblLayout w:type="fixed"/>
        <w:tblCellMar>
          <w:top w:w="0" w:type="dxa"/>
          <w:left w:w="0" w:type="dxa"/>
          <w:bottom w:w="0" w:type="dxa"/>
          <w:right w:w="0" w:type="dxa"/>
        </w:tblCellMar>
      </w:tblPr>
      <w:tblGrid>
        <w:gridCol w:w="3991"/>
        <w:gridCol w:w="346"/>
        <w:gridCol w:w="282"/>
        <w:gridCol w:w="903"/>
      </w:tblGrid>
      <w:tr>
        <w:trPr/>
        <w:tc>
          <w:tcPr>
            <w:tcW w:w="39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2">
                      <wp:simplePos x="0" y="0"/>
                      <wp:positionH relativeFrom="character">
                        <wp:align>left</wp:align>
                      </wp:positionH>
                      <wp:positionV relativeFrom="line">
                        <wp:posOffset>635</wp:posOffset>
                      </wp:positionV>
                      <wp:extent cx="2534285" cy="175260"/>
                      <wp:effectExtent l="0" t="0" r="0" b="0"/>
                      <wp:wrapNone/>
                      <wp:docPr id="91" name="Frame91"/>
                      <a:graphic xmlns:a="http://schemas.openxmlformats.org/drawingml/2006/main">
                        <a:graphicData uri="http://schemas.microsoft.com/office/word/2010/wordprocessingShape">
                          <wps:wsp>
                            <wps:cNvSpPr txBox="1"/>
                            <wps:spPr>
                              <a:xfrm>
                                <a:off x="0" y="0"/>
                                <a:ext cx="25342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9.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3">
                      <wp:simplePos x="0" y="0"/>
                      <wp:positionH relativeFrom="character">
                        <wp:align>left</wp:align>
                      </wp:positionH>
                      <wp:positionV relativeFrom="line">
                        <wp:posOffset>635</wp:posOffset>
                      </wp:positionV>
                      <wp:extent cx="219710" cy="175260"/>
                      <wp:effectExtent l="0" t="0" r="0" b="0"/>
                      <wp:wrapNone/>
                      <wp:docPr id="92" name="Frame92"/>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8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4">
                      <wp:simplePos x="0" y="0"/>
                      <wp:positionH relativeFrom="character">
                        <wp:align>left</wp:align>
                      </wp:positionH>
                      <wp:positionV relativeFrom="line">
                        <wp:posOffset>635</wp:posOffset>
                      </wp:positionV>
                      <wp:extent cx="179070" cy="175260"/>
                      <wp:effectExtent l="0" t="0" r="0" b="0"/>
                      <wp:wrapNone/>
                      <wp:docPr id="93" name="Frame93"/>
                      <a:graphic xmlns:a="http://schemas.openxmlformats.org/drawingml/2006/main">
                        <a:graphicData uri="http://schemas.microsoft.com/office/word/2010/wordprocessingShape">
                          <wps:wsp>
                            <wps:cNvSpPr txBox="1"/>
                            <wps:spPr>
                              <a:xfrm>
                                <a:off x="0" y="0"/>
                                <a:ext cx="17907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90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5">
                      <wp:simplePos x="0" y="0"/>
                      <wp:positionH relativeFrom="character">
                        <wp:align>left</wp:align>
                      </wp:positionH>
                      <wp:positionV relativeFrom="line">
                        <wp:posOffset>635</wp:posOffset>
                      </wp:positionV>
                      <wp:extent cx="573405" cy="175260"/>
                      <wp:effectExtent l="0" t="0" r="0" b="0"/>
                      <wp:wrapNone/>
                      <wp:docPr id="94" name="Frame94"/>
                      <a:graphic xmlns:a="http://schemas.openxmlformats.org/drawingml/2006/main">
                        <a:graphicData uri="http://schemas.microsoft.com/office/word/2010/wordprocessingShape">
                          <wps:wsp>
                            <wps:cNvSpPr txBox="1"/>
                            <wps:spPr>
                              <a:xfrm>
                                <a:off x="0" y="0"/>
                                <a:ext cx="57340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5.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399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  ​ ​ ​</w:t>
            </w:r>
          </w:p>
        </w:tc>
        <w:tc>
          <w:tcPr>
            <w:tcW w:w="1185"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Amount</w:t>
            </w:r>
          </w:p>
        </w:tc>
      </w:tr>
      <w:tr>
        <w:trPr/>
        <w:tc>
          <w:tcPr>
            <w:tcW w:w="399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1185" w:type="dxa"/>
            <w:gridSpan w:val="2"/>
            <w:tcBorders/>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(In millions)</w:t>
            </w:r>
          </w:p>
        </w:tc>
      </w:tr>
      <w:tr>
        <w:trPr/>
        <w:tc>
          <w:tcPr>
            <w:tcW w:w="399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Balance at the beginning of the period</w:t>
            </w:r>
          </w:p>
        </w:tc>
        <w:tc>
          <w:tcPr>
            <w:tcW w:w="346" w:type="dxa"/>
            <w:tcBorders/>
            <w:shd w:fill="CCEEFF" w:val="clear"/>
            <w:vAlign w:val="center"/>
          </w:tcPr>
          <w:p>
            <w:pPr>
              <w:pStyle w:val="TableContents"/>
              <w:bidi w:val="0"/>
              <w:spacing w:before="0" w:after="1"/>
              <w:ind w:left="0" w:right="0" w:hanging="0"/>
              <w:jc w:val="left"/>
              <w:rPr/>
            </w:pPr>
            <w:r>
              <w:rPr/>
              <w:t>​</w:t>
            </w:r>
          </w:p>
        </w:tc>
        <w:tc>
          <w:tcPr>
            <w:tcW w:w="282" w:type="dxa"/>
            <w:tcBorders/>
            <w:shd w:fill="CCEEFF" w:val="cle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w:t>
            </w:r>
          </w:p>
        </w:tc>
        <w:tc>
          <w:tcPr>
            <w:tcW w:w="903" w:type="dxa"/>
            <w:tcBorders/>
            <w:shd w:fill="CCEEFF" w:val="cle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230.1</w:t>
            </w:r>
          </w:p>
        </w:tc>
      </w:tr>
      <w:tr>
        <w:trPr/>
        <w:tc>
          <w:tcPr>
            <w:tcW w:w="399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Equity in losses of Kronos</w:t>
            </w:r>
          </w:p>
        </w:tc>
        <w:tc>
          <w:tcPr>
            <w:tcW w:w="346" w:type="dxa"/>
            <w:tcBorders/>
            <w:vAlign w:val="center"/>
          </w:tcPr>
          <w:p>
            <w:pPr>
              <w:pStyle w:val="TableContents"/>
              <w:bidi w:val="0"/>
              <w:spacing w:before="0" w:after="1"/>
              <w:ind w:left="0" w:right="0" w:hanging="0"/>
              <w:jc w:val="left"/>
              <w:rPr/>
            </w:pPr>
            <w:r>
              <w:rPr/>
              <w:t>​</w:t>
            </w:r>
          </w:p>
        </w:tc>
        <w:tc>
          <w:tcPr>
            <w:tcW w:w="282" w:type="dxa"/>
            <w:tcBorders/>
            <w:vAlign w:val="center"/>
          </w:tcPr>
          <w:p>
            <w:pPr>
              <w:pStyle w:val="TableContents"/>
              <w:bidi w:val="0"/>
              <w:spacing w:before="0" w:after="1"/>
              <w:ind w:left="0" w:right="0" w:hanging="0"/>
              <w:jc w:val="left"/>
              <w:rPr/>
            </w:pPr>
            <w:r>
              <w:rPr/>
              <w:t> </w:t>
            </w:r>
          </w:p>
        </w:tc>
        <w:tc>
          <w:tcPr>
            <w:tcW w:w="903" w:type="dxa"/>
            <w:tcBorders/>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(1.5)</w:t>
            </w:r>
          </w:p>
        </w:tc>
      </w:tr>
      <w:tr>
        <w:trPr/>
        <w:tc>
          <w:tcPr>
            <w:tcW w:w="399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Dividends received from Kronos</w:t>
            </w:r>
          </w:p>
        </w:tc>
        <w:tc>
          <w:tcPr>
            <w:tcW w:w="346" w:type="dxa"/>
            <w:tcBorders/>
            <w:shd w:fill="CCEEFF" w:val="clear"/>
            <w:vAlign w:val="center"/>
          </w:tcPr>
          <w:p>
            <w:pPr>
              <w:pStyle w:val="TableContents"/>
              <w:bidi w:val="0"/>
              <w:spacing w:before="0" w:after="1"/>
              <w:ind w:left="0" w:right="0" w:hanging="0"/>
              <w:jc w:val="left"/>
              <w:rPr/>
            </w:pPr>
            <w:r>
              <w:rPr/>
              <w:t>​</w:t>
            </w:r>
          </w:p>
        </w:tc>
        <w:tc>
          <w:tcPr>
            <w:tcW w:w="282" w:type="dxa"/>
            <w:tcBorders/>
            <w:shd w:fill="CCEEFF" w:val="clear"/>
            <w:vAlign w:val="center"/>
          </w:tcPr>
          <w:p>
            <w:pPr>
              <w:pStyle w:val="TableContents"/>
              <w:bidi w:val="0"/>
              <w:spacing w:before="0" w:after="1"/>
              <w:ind w:left="0" w:right="0" w:hanging="0"/>
              <w:jc w:val="left"/>
              <w:rPr/>
            </w:pPr>
            <w:r>
              <w:rPr/>
              <w:t> </w:t>
            </w:r>
          </w:p>
        </w:tc>
        <w:tc>
          <w:tcPr>
            <w:tcW w:w="903" w:type="dxa"/>
            <w:tcBorders/>
            <w:shd w:fill="CCEEFF" w:val="cle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(1.8)</w:t>
            </w:r>
          </w:p>
        </w:tc>
      </w:tr>
      <w:tr>
        <w:trPr/>
        <w:tc>
          <w:tcPr>
            <w:tcW w:w="399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Equity in Kronos' other comprehensive income:</w:t>
            </w:r>
          </w:p>
        </w:tc>
        <w:tc>
          <w:tcPr>
            <w:tcW w:w="346" w:type="dxa"/>
            <w:tcBorders/>
            <w:vAlign w:val="center"/>
          </w:tcPr>
          <w:p>
            <w:pPr>
              <w:pStyle w:val="TableContents"/>
              <w:bidi w:val="0"/>
              <w:spacing w:before="0" w:after="1"/>
              <w:ind w:left="0" w:right="0" w:hanging="0"/>
              <w:jc w:val="left"/>
              <w:rPr/>
            </w:pPr>
            <w:r>
              <w:rPr/>
              <w:t>​</w:t>
            </w:r>
          </w:p>
        </w:tc>
        <w:tc>
          <w:tcPr>
            <w:tcW w:w="282" w:type="dxa"/>
            <w:tcBorders/>
            <w:vAlign w:val="center"/>
          </w:tcPr>
          <w:p>
            <w:pPr>
              <w:pStyle w:val="TableContents"/>
              <w:bidi w:val="0"/>
              <w:spacing w:before="0" w:after="1"/>
              <w:ind w:left="0" w:right="0" w:hanging="0"/>
              <w:jc w:val="left"/>
              <w:rPr/>
            </w:pPr>
            <w:r>
              <w:rPr/>
              <w:t>​</w:t>
            </w:r>
          </w:p>
        </w:tc>
        <w:tc>
          <w:tcPr>
            <w:tcW w:w="903" w:type="dxa"/>
            <w:tcBorders/>
            <w:vAlign w:val="center"/>
          </w:tcPr>
          <w:p>
            <w:pPr>
              <w:pStyle w:val="TableContents"/>
              <w:bidi w:val="0"/>
              <w:spacing w:before="0" w:after="1"/>
              <w:ind w:left="0" w:right="0" w:hanging="0"/>
              <w:jc w:val="right"/>
              <w:rPr/>
            </w:pPr>
            <w:r>
              <w:rPr/>
              <w:t>​</w:t>
            </w:r>
          </w:p>
        </w:tc>
      </w:tr>
      <w:tr>
        <w:trPr/>
        <w:tc>
          <w:tcPr>
            <w:tcW w:w="399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Currency translation</w:t>
            </w:r>
          </w:p>
        </w:tc>
        <w:tc>
          <w:tcPr>
            <w:tcW w:w="346" w:type="dxa"/>
            <w:tcBorders/>
            <w:shd w:fill="CCEEFF" w:val="clear"/>
            <w:vAlign w:val="center"/>
          </w:tcPr>
          <w:p>
            <w:pPr>
              <w:pStyle w:val="TableContents"/>
              <w:bidi w:val="0"/>
              <w:spacing w:before="0" w:after="1"/>
              <w:ind w:left="0" w:right="0" w:hanging="0"/>
              <w:jc w:val="left"/>
              <w:rPr/>
            </w:pPr>
            <w:r>
              <w:rPr/>
              <w:t>​</w:t>
            </w:r>
          </w:p>
        </w:tc>
        <w:tc>
          <w:tcPr>
            <w:tcW w:w="282" w:type="dxa"/>
            <w:tcBorders/>
            <w:shd w:fill="CCEEFF" w:val="clear"/>
            <w:vAlign w:val="center"/>
          </w:tcPr>
          <w:p>
            <w:pPr>
              <w:pStyle w:val="TableContents"/>
              <w:bidi w:val="0"/>
              <w:spacing w:before="0" w:after="1"/>
              <w:ind w:left="0" w:right="0" w:hanging="0"/>
              <w:jc w:val="left"/>
              <w:rPr/>
            </w:pPr>
            <w:r>
              <w:rPr/>
              <w:t>​</w:t>
            </w:r>
          </w:p>
        </w:tc>
        <w:tc>
          <w:tcPr>
            <w:tcW w:w="903" w:type="dxa"/>
            <w:tcBorders/>
            <w:shd w:fill="CCEEFF" w:val="cle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1.3</w:t>
            </w:r>
          </w:p>
        </w:tc>
      </w:tr>
      <w:tr>
        <w:trPr/>
        <w:tc>
          <w:tcPr>
            <w:tcW w:w="399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Defined benefit pension plans</w:t>
            </w:r>
          </w:p>
        </w:tc>
        <w:tc>
          <w:tcPr>
            <w:tcW w:w="346" w:type="dxa"/>
            <w:tcBorders/>
            <w:vAlign w:val="center"/>
          </w:tcPr>
          <w:p>
            <w:pPr>
              <w:pStyle w:val="TableContents"/>
              <w:bidi w:val="0"/>
              <w:spacing w:before="0" w:after="1"/>
              <w:ind w:left="0" w:right="0" w:hanging="0"/>
              <w:jc w:val="left"/>
              <w:rPr/>
            </w:pPr>
            <w:r>
              <w:rPr/>
              <w:t>​</w:t>
            </w:r>
          </w:p>
        </w:tc>
        <w:tc>
          <w:tcPr>
            <w:tcW w:w="282"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903"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.1</w:t>
            </w:r>
          </w:p>
        </w:tc>
      </w:tr>
      <w:tr>
        <w:trPr/>
        <w:tc>
          <w:tcPr>
            <w:tcW w:w="399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Balance at the end of the period</w:t>
            </w:r>
          </w:p>
        </w:tc>
        <w:tc>
          <w:tcPr>
            <w:tcW w:w="346" w:type="dxa"/>
            <w:tcBorders/>
            <w:shd w:fill="CCEEFF" w:val="clear"/>
            <w:vAlign w:val="center"/>
          </w:tcPr>
          <w:p>
            <w:pPr>
              <w:pStyle w:val="TableContents"/>
              <w:bidi w:val="0"/>
              <w:spacing w:before="0" w:after="1"/>
              <w:ind w:left="0" w:right="0" w:hanging="0"/>
              <w:jc w:val="left"/>
              <w:rPr/>
            </w:pPr>
            <w:r>
              <w:rPr/>
              <w:t>​</w:t>
            </w:r>
          </w:p>
        </w:tc>
        <w:tc>
          <w:tcPr>
            <w:tcW w:w="282"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w:t>
            </w:r>
          </w:p>
        </w:tc>
        <w:tc>
          <w:tcPr>
            <w:tcW w:w="903" w:type="dxa"/>
            <w:tcBorders>
              <w:bottom w:val="double" w:sz="6" w:space="0" w:color="000000"/>
            </w:tcBorders>
            <w:shd w:fill="CCEEFF" w:val="clear"/>
            <w:tcMar>
              <w:bottom w:w="28" w:type="dxa"/>
            </w:tcMar>
            <w:vAlign w:val="center"/>
          </w:tcPr>
          <w:p>
            <w:pPr>
              <w:pStyle w:val="TableContents"/>
              <w:bidi w:val="0"/>
              <w:spacing w:before="0" w:after="1"/>
              <w:ind w:left="0" w:right="60" w:hanging="0"/>
              <w:jc w:val="right"/>
              <w:rPr>
                <w:rFonts w:ascii="Times New Roman;Times;serif" w:hAnsi="Times New Roman;Times;serif"/>
                <w:b/>
                <w:sz w:val="20"/>
              </w:rPr>
            </w:pPr>
            <w:r>
              <w:rPr>
                <w:rFonts w:ascii="Times New Roman;Times;serif" w:hAnsi="Times New Roman;Times;serif"/>
                <w:b/>
                <w:sz w:val="20"/>
              </w:rPr>
              <w:t>228.2</w:t>
            </w:r>
          </w:p>
        </w:tc>
      </w:tr>
    </w:tbl>
    <w:p>
      <w:pPr>
        <w:pStyle w:val="TextBody"/>
        <w:bidi w:val="0"/>
        <w:spacing w:before="0" w:after="0"/>
        <w:ind w:left="0" w:right="0" w:hanging="0"/>
        <w:jc w:val="left"/>
        <w:rPr/>
      </w:pPr>
      <w:r>
        <w:rPr/>
        <w:t>​</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11</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firstLine="720"/>
        <w:jc w:val="both"/>
        <w:rPr>
          <w:rFonts w:ascii="Times New Roman;Times;serif" w:hAnsi="Times New Roman;Times;serif"/>
          <w:sz w:val="20"/>
        </w:rPr>
      </w:pPr>
      <w:bookmarkStart w:id="657" w:name="Tc_fc6NEpIgcEmLOAc5--eO-w_9_0"/>
      <w:bookmarkStart w:id="658" w:name="Tc_HTx1UnJ83UWjIVDy9TEfvQ_8_0"/>
      <w:bookmarkStart w:id="659" w:name="Tc_BklPI6rdmkO2EXdZRX9ZzQ_7_0"/>
      <w:bookmarkStart w:id="660" w:name="Tc_LkThuZ9mGEqJWtCpuaKW4Q_6_0"/>
      <w:bookmarkStart w:id="661" w:name="Tc_es1FPAQ6PUKNzejFMxMwew_5_5"/>
      <w:bookmarkStart w:id="662" w:name="Tc_EslbPNmYDUuH2hsHBhhTlQ_5_2"/>
      <w:bookmarkStart w:id="663" w:name="Tc_UTesME8lMUWFnTSoL5tcwQ_5_0"/>
      <w:bookmarkStart w:id="664" w:name="Tc_6z1hQPAvzUuc64hTl4dcZg_4_2"/>
      <w:bookmarkStart w:id="665" w:name="Tc_ZD-s6V1Lskuv98x6JzqsIw_3_5"/>
      <w:bookmarkStart w:id="666" w:name="Tc_bemTsj9SAk-I7QVld8Avfw_3_2"/>
      <w:bookmarkStart w:id="667" w:name="Tc_yR7Zw-irOkiF1FWEVUfdog_2_2"/>
      <w:bookmarkStart w:id="668" w:name="Tc_8hi4R_qVzUKdJPTtgyGV4g_1_2"/>
      <w:bookmarkStart w:id="669" w:name="Tc_8A4evVJJe0isvWvrUiimLg_14_5"/>
      <w:bookmarkStart w:id="670" w:name="Tc_MQVLwhqiRkqo3tgRR04Bow_14_2"/>
      <w:bookmarkStart w:id="671" w:name="Tc_A4EO0zW-Ik6tLTtIowUopA_14_0"/>
      <w:bookmarkStart w:id="672" w:name="Tc_vkan_-yJOUq5T08KAXMpTA_13_0"/>
      <w:bookmarkStart w:id="673" w:name="Tc_jIm84ttfzEqlIitbx_I-6Q_12_0"/>
      <w:bookmarkStart w:id="674" w:name="Tc_cldq6PLbKU6Pg9C_kNliqg_11_0"/>
      <w:bookmarkStart w:id="675" w:name="Tc_BPDD61lQYEar6xTooS5yWg_10_0"/>
      <w:bookmarkStart w:id="676" w:name="Tc_rru2bXc730yGIXcq__EBdA_9_5"/>
      <w:bookmarkStart w:id="677" w:name="Tc_FazAtRgoH0yJ1PVd8U0unQ_9_2"/>
      <w:bookmarkStart w:id="678" w:name="Tc_YuWmOQw5Fky_-OhA2XAobg_9_0"/>
      <w:bookmarkStart w:id="679" w:name="Tc_jw8cukaxq0yAKrMH7CrOVQ_7_5"/>
      <w:bookmarkStart w:id="680" w:name="Tc__UqJdTBU5UmlgY0JMA7k2A_7_2"/>
      <w:bookmarkStart w:id="681" w:name="Tc_DtEF0FQrfEODjskFMuUKGw_7_0"/>
      <w:bookmarkStart w:id="682" w:name="Tc_SW_ZFWFuEk6cHRp6XN2hnw_6_0"/>
      <w:bookmarkStart w:id="683" w:name="Tc_ov3lxjz_rUSDQZGCCkfn2w_5_0"/>
      <w:bookmarkStart w:id="684" w:name="Tc_FmgtbLon7Uu90Tw4ET-swQ_4_5"/>
      <w:bookmarkStart w:id="685" w:name="Tc_Gq1GiZOTekORzF7SwIGnFQ_4_2"/>
      <w:bookmarkStart w:id="686" w:name="Tc_QXKzjmqhsE-8x5QOShR8aA_4_0"/>
      <w:bookmarkStart w:id="687" w:name="Tc_CfYMy8RSvk-mujKFPThVDg_3_2"/>
      <w:bookmarkStart w:id="688" w:name="Tc_tVnvlKuSgku4CJjDypeXGw_2_5"/>
      <w:bookmarkStart w:id="689" w:name="Tc_pSCLVyne60GpYFZYEA92pw_2_2"/>
      <w:bookmarkStart w:id="690" w:name="Tc_kGTzCcsnxEiYRMmUrUwKYQ_1_5"/>
      <w:bookmarkStart w:id="691" w:name="Tc_7JPXf0xZVk2Bdfq-jFR3Vg_1_2"/>
      <w:bookmarkEnd w:id="657"/>
      <w:bookmarkEnd w:id="658"/>
      <w:bookmarkEnd w:id="659"/>
      <w:bookmarkEnd w:id="660"/>
      <w:bookmarkEnd w:id="661"/>
      <w:bookmarkEnd w:id="662"/>
      <w:bookmarkEnd w:id="663"/>
      <w:bookmarkEnd w:id="664"/>
      <w:bookmarkEnd w:id="665"/>
      <w:bookmarkEnd w:id="666"/>
      <w:bookmarkEnd w:id="667"/>
      <w:bookmarkEnd w:id="668"/>
      <w:bookmarkEnd w:id="669"/>
      <w:bookmarkEnd w:id="670"/>
      <w:bookmarkEnd w:id="671"/>
      <w:bookmarkEnd w:id="672"/>
      <w:bookmarkEnd w:id="673"/>
      <w:bookmarkEnd w:id="674"/>
      <w:bookmarkEnd w:id="675"/>
      <w:bookmarkEnd w:id="676"/>
      <w:bookmarkEnd w:id="677"/>
      <w:bookmarkEnd w:id="678"/>
      <w:bookmarkEnd w:id="679"/>
      <w:bookmarkEnd w:id="680"/>
      <w:bookmarkEnd w:id="681"/>
      <w:bookmarkEnd w:id="682"/>
      <w:bookmarkEnd w:id="683"/>
      <w:bookmarkEnd w:id="684"/>
      <w:bookmarkEnd w:id="685"/>
      <w:bookmarkEnd w:id="686"/>
      <w:bookmarkEnd w:id="687"/>
      <w:bookmarkEnd w:id="688"/>
      <w:bookmarkEnd w:id="689"/>
      <w:bookmarkEnd w:id="690"/>
      <w:bookmarkEnd w:id="691"/>
      <w:r>
        <w:rPr>
          <w:rFonts w:ascii="Times New Roman;Times;serif" w:hAnsi="Times New Roman;Times;serif"/>
          <w:sz w:val="20"/>
        </w:rPr>
        <w:t>Selected financial information of Kronos is summarized below:</w:t>
      </w:r>
    </w:p>
    <w:p>
      <w:pPr>
        <w:pStyle w:val="TextBody"/>
        <w:bidi w:val="0"/>
        <w:spacing w:before="0" w:after="0"/>
        <w:ind w:left="0" w:right="0" w:hanging="0"/>
        <w:jc w:val="left"/>
        <w:rPr/>
      </w:pPr>
      <w:r>
        <w:rPr/>
        <w:t>​</w:t>
      </w:r>
    </w:p>
    <w:tbl>
      <w:tblPr>
        <w:tblW w:w="6498" w:type="dxa"/>
        <w:jc w:val="left"/>
        <w:tblInd w:w="0" w:type="dxa"/>
        <w:tblLayout w:type="fixed"/>
        <w:tblCellMar>
          <w:top w:w="0" w:type="dxa"/>
          <w:left w:w="0" w:type="dxa"/>
          <w:bottom w:w="0" w:type="dxa"/>
          <w:right w:w="0" w:type="dxa"/>
        </w:tblCellMar>
      </w:tblPr>
      <w:tblGrid>
        <w:gridCol w:w="3436"/>
        <w:gridCol w:w="346"/>
        <w:gridCol w:w="295"/>
        <w:gridCol w:w="1010"/>
        <w:gridCol w:w="346"/>
        <w:gridCol w:w="216"/>
        <w:gridCol w:w="849"/>
      </w:tblGrid>
      <w:tr>
        <w:trPr/>
        <w:tc>
          <w:tcPr>
            <w:tcW w:w="34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6">
                      <wp:simplePos x="0" y="0"/>
                      <wp:positionH relativeFrom="character">
                        <wp:align>left</wp:align>
                      </wp:positionH>
                      <wp:positionV relativeFrom="line">
                        <wp:posOffset>635</wp:posOffset>
                      </wp:positionV>
                      <wp:extent cx="2181860" cy="175260"/>
                      <wp:effectExtent l="0" t="0" r="0" b="0"/>
                      <wp:wrapNone/>
                      <wp:docPr id="95" name="Frame95"/>
                      <a:graphic xmlns:a="http://schemas.openxmlformats.org/drawingml/2006/main">
                        <a:graphicData uri="http://schemas.microsoft.com/office/word/2010/wordprocessingShape">
                          <wps:wsp>
                            <wps:cNvSpPr txBox="1"/>
                            <wps:spPr>
                              <a:xfrm>
                                <a:off x="0" y="0"/>
                                <a:ext cx="21818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7">
                      <wp:simplePos x="0" y="0"/>
                      <wp:positionH relativeFrom="character">
                        <wp:align>left</wp:align>
                      </wp:positionH>
                      <wp:positionV relativeFrom="line">
                        <wp:posOffset>635</wp:posOffset>
                      </wp:positionV>
                      <wp:extent cx="219710" cy="175260"/>
                      <wp:effectExtent l="0" t="0" r="0" b="0"/>
                      <wp:wrapNone/>
                      <wp:docPr id="96" name="Frame96"/>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9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8">
                      <wp:simplePos x="0" y="0"/>
                      <wp:positionH relativeFrom="character">
                        <wp:align>left</wp:align>
                      </wp:positionH>
                      <wp:positionV relativeFrom="line">
                        <wp:posOffset>635</wp:posOffset>
                      </wp:positionV>
                      <wp:extent cx="187325" cy="175260"/>
                      <wp:effectExtent l="0" t="0" r="0" b="0"/>
                      <wp:wrapNone/>
                      <wp:docPr id="97" name="Frame97"/>
                      <a:graphic xmlns:a="http://schemas.openxmlformats.org/drawingml/2006/main">
                        <a:graphicData uri="http://schemas.microsoft.com/office/word/2010/wordprocessingShape">
                          <wps:wsp>
                            <wps:cNvSpPr txBox="1"/>
                            <wps:spPr>
                              <a:xfrm>
                                <a:off x="0" y="0"/>
                                <a:ext cx="18732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1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9">
                      <wp:simplePos x="0" y="0"/>
                      <wp:positionH relativeFrom="character">
                        <wp:align>left</wp:align>
                      </wp:positionH>
                      <wp:positionV relativeFrom="line">
                        <wp:posOffset>635</wp:posOffset>
                      </wp:positionV>
                      <wp:extent cx="641350" cy="175260"/>
                      <wp:effectExtent l="0" t="0" r="0" b="0"/>
                      <wp:wrapNone/>
                      <wp:docPr id="98" name="Frame98"/>
                      <a:graphic xmlns:a="http://schemas.openxmlformats.org/drawingml/2006/main">
                        <a:graphicData uri="http://schemas.microsoft.com/office/word/2010/wordprocessingShape">
                          <wps:wsp>
                            <wps:cNvSpPr txBox="1"/>
                            <wps:spPr>
                              <a:xfrm>
                                <a:off x="0" y="0"/>
                                <a:ext cx="64135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0">
                      <wp:simplePos x="0" y="0"/>
                      <wp:positionH relativeFrom="character">
                        <wp:align>left</wp:align>
                      </wp:positionH>
                      <wp:positionV relativeFrom="line">
                        <wp:posOffset>635</wp:posOffset>
                      </wp:positionV>
                      <wp:extent cx="219710" cy="175260"/>
                      <wp:effectExtent l="0" t="0" r="0" b="0"/>
                      <wp:wrapNone/>
                      <wp:docPr id="99" name="Frame99"/>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1">
                      <wp:simplePos x="0" y="0"/>
                      <wp:positionH relativeFrom="character">
                        <wp:align>left</wp:align>
                      </wp:positionH>
                      <wp:positionV relativeFrom="line">
                        <wp:posOffset>635</wp:posOffset>
                      </wp:positionV>
                      <wp:extent cx="137160" cy="175260"/>
                      <wp:effectExtent l="0" t="0" r="0" b="0"/>
                      <wp:wrapNone/>
                      <wp:docPr id="100" name="Frame100"/>
                      <a:graphic xmlns:a="http://schemas.openxmlformats.org/drawingml/2006/main">
                        <a:graphicData uri="http://schemas.microsoft.com/office/word/2010/wordprocessingShape">
                          <wps:wsp>
                            <wps:cNvSpPr txBox="1"/>
                            <wps:spPr>
                              <a:xfrm>
                                <a:off x="0" y="0"/>
                                <a:ext cx="1371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4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2">
                      <wp:simplePos x="0" y="0"/>
                      <wp:positionH relativeFrom="character">
                        <wp:align>left</wp:align>
                      </wp:positionH>
                      <wp:positionV relativeFrom="line">
                        <wp:posOffset>635</wp:posOffset>
                      </wp:positionV>
                      <wp:extent cx="539115" cy="175260"/>
                      <wp:effectExtent l="0" t="0" r="0" b="0"/>
                      <wp:wrapNone/>
                      <wp:docPr id="101" name="Frame101"/>
                      <a:graphic xmlns:a="http://schemas.openxmlformats.org/drawingml/2006/main">
                        <a:graphicData uri="http://schemas.microsoft.com/office/word/2010/wordprocessingShape">
                          <wps:wsp>
                            <wps:cNvSpPr txBox="1"/>
                            <wps:spPr>
                              <a:xfrm>
                                <a:off x="0" y="0"/>
                                <a:ext cx="5391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2.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343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1305" w:type="dxa"/>
            <w:gridSpan w:val="2"/>
            <w:tcBorders/>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December 31, </w:t>
            </w:r>
          </w:p>
        </w:tc>
        <w:tc>
          <w:tcPr>
            <w:tcW w:w="346" w:type="dxa"/>
            <w:tcBorders/>
            <w:vAlign w:val="center"/>
          </w:tcPr>
          <w:p>
            <w:pPr>
              <w:pStyle w:val="TableContents"/>
              <w:bidi w:val="0"/>
              <w:spacing w:before="0" w:after="1"/>
              <w:ind w:left="0" w:right="0" w:hanging="0"/>
              <w:jc w:val="left"/>
              <w:rPr/>
            </w:pPr>
            <w:r>
              <w:rPr/>
              <w:t>​</w:t>
            </w:r>
          </w:p>
        </w:tc>
        <w:tc>
          <w:tcPr>
            <w:tcW w:w="1065" w:type="dxa"/>
            <w:gridSpan w:val="2"/>
            <w:tcBorders/>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March 31, </w:t>
            </w:r>
          </w:p>
        </w:tc>
      </w:tr>
      <w:tr>
        <w:trPr/>
        <w:tc>
          <w:tcPr>
            <w:tcW w:w="343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  ​ ​ ​</w:t>
            </w:r>
          </w:p>
        </w:tc>
        <w:tc>
          <w:tcPr>
            <w:tcW w:w="1305"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2025</w:t>
            </w:r>
          </w:p>
        </w:tc>
        <w:tc>
          <w:tcPr>
            <w:tcW w:w="346" w:type="dxa"/>
            <w:tcBorders/>
            <w:vAlign w:val="center"/>
          </w:tcPr>
          <w:p>
            <w:pPr>
              <w:pStyle w:val="TableContents"/>
              <w:bidi w:val="0"/>
              <w:spacing w:before="0" w:after="1"/>
              <w:ind w:left="0" w:right="0" w:hanging="0"/>
              <w:jc w:val="left"/>
              <w:rPr/>
            </w:pPr>
            <w:r>
              <w:rPr/>
              <w:t>  ​ ​ ​</w:t>
            </w:r>
          </w:p>
        </w:tc>
        <w:tc>
          <w:tcPr>
            <w:tcW w:w="1065"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2026</w:t>
            </w:r>
          </w:p>
        </w:tc>
      </w:tr>
      <w:tr>
        <w:trPr/>
        <w:tc>
          <w:tcPr>
            <w:tcW w:w="6498" w:type="dxa"/>
            <w:gridSpan w:val="7"/>
            <w:tcBorders/>
            <w:vAlign w:val="center"/>
          </w:tcPr>
          <w:p>
            <w:pPr>
              <w:pStyle w:val="TableContents"/>
              <w:bidi w:val="0"/>
              <w:spacing w:before="0" w:after="283"/>
              <w:ind w:left="0" w:right="0" w:hanging="0"/>
              <w:jc w:val="left"/>
              <w:rPr>
                <w:sz w:val="4"/>
                <w:szCs w:val="4"/>
              </w:rPr>
            </w:pPr>
            <w:r>
              <w:rPr>
                <w:sz w:val="4"/>
                <w:szCs w:val="4"/>
              </w:rPr>
            </w:r>
          </w:p>
        </w:tc>
      </w:tr>
      <w:tr>
        <w:trPr/>
        <w:tc>
          <w:tcPr>
            <w:tcW w:w="343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2716" w:type="dxa"/>
            <w:gridSpan w:val="5"/>
            <w:tcBorders/>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(In millions)</w:t>
            </w:r>
          </w:p>
        </w:tc>
      </w:tr>
      <w:tr>
        <w:trPr/>
        <w:tc>
          <w:tcPr>
            <w:tcW w:w="343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Current assets</w:t>
            </w:r>
          </w:p>
        </w:tc>
        <w:tc>
          <w:tcPr>
            <w:tcW w:w="346" w:type="dxa"/>
            <w:tcBorders/>
            <w:shd w:fill="CCEEFF" w:val="clear"/>
            <w:vAlign w:val="center"/>
          </w:tcPr>
          <w:p>
            <w:pPr>
              <w:pStyle w:val="TableContents"/>
              <w:bidi w:val="0"/>
              <w:spacing w:before="0" w:after="1"/>
              <w:ind w:left="0" w:right="0" w:hanging="0"/>
              <w:jc w:val="left"/>
              <w:rPr/>
            </w:pPr>
            <w:r>
              <w:rPr/>
              <w:t>​</w:t>
            </w:r>
          </w:p>
        </w:tc>
        <w:tc>
          <w:tcPr>
            <w:tcW w:w="295"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010"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994.5</w:t>
            </w:r>
          </w:p>
        </w:tc>
        <w:tc>
          <w:tcPr>
            <w:tcW w:w="346" w:type="dxa"/>
            <w:tcBorders/>
            <w:shd w:fill="CCEEFF" w:val="clear"/>
            <w:vAlign w:val="center"/>
          </w:tcPr>
          <w:p>
            <w:pPr>
              <w:pStyle w:val="TableContents"/>
              <w:bidi w:val="0"/>
              <w:spacing w:before="0" w:after="1"/>
              <w:ind w:left="0" w:right="0" w:hanging="0"/>
              <w:jc w:val="left"/>
              <w:rPr/>
            </w:pPr>
            <w:r>
              <w:rPr/>
              <w:t>​</w:t>
            </w:r>
          </w:p>
        </w:tc>
        <w:tc>
          <w:tcPr>
            <w:tcW w:w="216" w:type="dxa"/>
            <w:tcBorders/>
            <w:shd w:fill="CCEEFF" w:val="cle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w:t>
            </w:r>
          </w:p>
        </w:tc>
        <w:tc>
          <w:tcPr>
            <w:tcW w:w="849" w:type="dxa"/>
            <w:tcBorders/>
            <w:shd w:fill="CCEEFF" w:val="cle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988.5</w:t>
            </w:r>
          </w:p>
        </w:tc>
      </w:tr>
      <w:tr>
        <w:trPr/>
        <w:tc>
          <w:tcPr>
            <w:tcW w:w="343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Property and equipment, net</w:t>
            </w:r>
          </w:p>
        </w:tc>
        <w:tc>
          <w:tcPr>
            <w:tcW w:w="346" w:type="dxa"/>
            <w:tcBorders/>
            <w:vAlign w:val="center"/>
          </w:tcPr>
          <w:p>
            <w:pPr>
              <w:pStyle w:val="TableContents"/>
              <w:bidi w:val="0"/>
              <w:spacing w:before="0" w:after="1"/>
              <w:ind w:left="0" w:right="0" w:hanging="0"/>
              <w:jc w:val="left"/>
              <w:rPr/>
            </w:pPr>
            <w:r>
              <w:rPr/>
              <w:t>​</w:t>
            </w:r>
          </w:p>
        </w:tc>
        <w:tc>
          <w:tcPr>
            <w:tcW w:w="295" w:type="dxa"/>
            <w:tcBorders/>
            <w:vAlign w:val="center"/>
          </w:tcPr>
          <w:p>
            <w:pPr>
              <w:pStyle w:val="TableContents"/>
              <w:bidi w:val="0"/>
              <w:spacing w:before="0" w:after="1"/>
              <w:ind w:left="0" w:right="0" w:hanging="0"/>
              <w:jc w:val="left"/>
              <w:rPr/>
            </w:pPr>
            <w:r>
              <w:rPr/>
              <w:t> </w:t>
            </w:r>
          </w:p>
        </w:tc>
        <w:tc>
          <w:tcPr>
            <w:tcW w:w="1010"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724.3</w:t>
            </w:r>
          </w:p>
        </w:tc>
        <w:tc>
          <w:tcPr>
            <w:tcW w:w="346" w:type="dxa"/>
            <w:tcBorders/>
            <w:vAlign w:val="center"/>
          </w:tcPr>
          <w:p>
            <w:pPr>
              <w:pStyle w:val="TableContents"/>
              <w:bidi w:val="0"/>
              <w:spacing w:before="0" w:after="1"/>
              <w:ind w:left="0" w:right="0" w:hanging="0"/>
              <w:jc w:val="left"/>
              <w:rPr/>
            </w:pPr>
            <w:r>
              <w:rPr/>
              <w:t>​</w:t>
            </w:r>
          </w:p>
        </w:tc>
        <w:tc>
          <w:tcPr>
            <w:tcW w:w="216" w:type="dxa"/>
            <w:tcBorders/>
            <w:vAlign w:val="center"/>
          </w:tcPr>
          <w:p>
            <w:pPr>
              <w:pStyle w:val="TableContents"/>
              <w:bidi w:val="0"/>
              <w:spacing w:before="0" w:after="1"/>
              <w:ind w:left="0" w:right="0" w:hanging="0"/>
              <w:jc w:val="left"/>
              <w:rPr/>
            </w:pPr>
            <w:r>
              <w:rPr/>
              <w:t> </w:t>
            </w:r>
          </w:p>
        </w:tc>
        <w:tc>
          <w:tcPr>
            <w:tcW w:w="849" w:type="dxa"/>
            <w:tcBorders/>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712.6</w:t>
            </w:r>
          </w:p>
        </w:tc>
      </w:tr>
      <w:tr>
        <w:trPr/>
        <w:tc>
          <w:tcPr>
            <w:tcW w:w="343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Other noncurrent assets</w:t>
            </w:r>
          </w:p>
        </w:tc>
        <w:tc>
          <w:tcPr>
            <w:tcW w:w="346" w:type="dxa"/>
            <w:tcBorders/>
            <w:shd w:fill="CCEEFF" w:val="clear"/>
            <w:vAlign w:val="center"/>
          </w:tcPr>
          <w:p>
            <w:pPr>
              <w:pStyle w:val="TableContents"/>
              <w:bidi w:val="0"/>
              <w:spacing w:before="0" w:after="1"/>
              <w:ind w:left="0" w:right="0" w:hanging="0"/>
              <w:jc w:val="left"/>
              <w:rPr/>
            </w:pPr>
            <w:r>
              <w:rPr/>
              <w:t>​</w:t>
            </w:r>
          </w:p>
        </w:tc>
        <w:tc>
          <w:tcPr>
            <w:tcW w:w="295"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1010"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98.0</w:t>
            </w:r>
          </w:p>
        </w:tc>
        <w:tc>
          <w:tcPr>
            <w:tcW w:w="346" w:type="dxa"/>
            <w:tcBorders/>
            <w:shd w:fill="CCEEFF" w:val="clear"/>
            <w:vAlign w:val="center"/>
          </w:tcPr>
          <w:p>
            <w:pPr>
              <w:pStyle w:val="TableContents"/>
              <w:bidi w:val="0"/>
              <w:spacing w:before="0" w:after="1"/>
              <w:ind w:left="0" w:right="0" w:hanging="0"/>
              <w:jc w:val="left"/>
              <w:rPr/>
            </w:pPr>
            <w:r>
              <w:rPr/>
              <w:t>​</w:t>
            </w:r>
          </w:p>
        </w:tc>
        <w:tc>
          <w:tcPr>
            <w:tcW w:w="21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849"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97.2</w:t>
            </w:r>
          </w:p>
        </w:tc>
      </w:tr>
      <w:tr>
        <w:trPr/>
        <w:tc>
          <w:tcPr>
            <w:tcW w:w="343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Total assets</w:t>
            </w:r>
          </w:p>
        </w:tc>
        <w:tc>
          <w:tcPr>
            <w:tcW w:w="346" w:type="dxa"/>
            <w:tcBorders/>
            <w:vAlign w:val="center"/>
          </w:tcPr>
          <w:p>
            <w:pPr>
              <w:pStyle w:val="TableContents"/>
              <w:bidi w:val="0"/>
              <w:spacing w:before="0" w:after="1"/>
              <w:ind w:left="0" w:right="0" w:hanging="0"/>
              <w:jc w:val="left"/>
              <w:rPr/>
            </w:pPr>
            <w:r>
              <w:rPr/>
              <w:t>​</w:t>
            </w:r>
          </w:p>
        </w:tc>
        <w:tc>
          <w:tcPr>
            <w:tcW w:w="295"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010"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1,816.8</w:t>
            </w:r>
          </w:p>
        </w:tc>
        <w:tc>
          <w:tcPr>
            <w:tcW w:w="346" w:type="dxa"/>
            <w:tcBorders/>
            <w:vAlign w:val="center"/>
          </w:tcPr>
          <w:p>
            <w:pPr>
              <w:pStyle w:val="TableContents"/>
              <w:bidi w:val="0"/>
              <w:spacing w:before="0" w:after="1"/>
              <w:ind w:left="0" w:right="0" w:hanging="0"/>
              <w:jc w:val="left"/>
              <w:rPr/>
            </w:pPr>
            <w:r>
              <w:rPr/>
              <w:t>​</w:t>
            </w:r>
          </w:p>
        </w:tc>
        <w:tc>
          <w:tcPr>
            <w:tcW w:w="216"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w:t>
            </w:r>
          </w:p>
        </w:tc>
        <w:tc>
          <w:tcPr>
            <w:tcW w:w="849"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1,798.3</w:t>
            </w:r>
          </w:p>
        </w:tc>
      </w:tr>
      <w:tr>
        <w:trPr/>
        <w:tc>
          <w:tcPr>
            <w:tcW w:w="3436"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95" w:type="dxa"/>
            <w:tcBorders/>
            <w:shd w:fill="CCEEFF" w:val="clear"/>
            <w:vAlign w:val="center"/>
          </w:tcPr>
          <w:p>
            <w:pPr>
              <w:pStyle w:val="TableContents"/>
              <w:bidi w:val="0"/>
              <w:spacing w:before="0" w:after="1"/>
              <w:ind w:left="0" w:right="0" w:hanging="0"/>
              <w:jc w:val="left"/>
              <w:rPr/>
            </w:pPr>
            <w:r>
              <w:rPr/>
              <w:t>​</w:t>
            </w:r>
          </w:p>
        </w:tc>
        <w:tc>
          <w:tcPr>
            <w:tcW w:w="1010"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16" w:type="dxa"/>
            <w:tcBorders/>
            <w:shd w:fill="CCEEFF" w:val="clear"/>
            <w:vAlign w:val="center"/>
          </w:tcPr>
          <w:p>
            <w:pPr>
              <w:pStyle w:val="TableContents"/>
              <w:bidi w:val="0"/>
              <w:spacing w:before="0" w:after="1"/>
              <w:ind w:left="0" w:right="0" w:hanging="0"/>
              <w:jc w:val="left"/>
              <w:rPr/>
            </w:pPr>
            <w:r>
              <w:rPr/>
              <w:t>​</w:t>
            </w:r>
          </w:p>
        </w:tc>
        <w:tc>
          <w:tcPr>
            <w:tcW w:w="849" w:type="dxa"/>
            <w:tcBorders/>
            <w:shd w:fill="CCEEFF" w:val="clear"/>
            <w:vAlign w:val="center"/>
          </w:tcPr>
          <w:p>
            <w:pPr>
              <w:pStyle w:val="TableContents"/>
              <w:bidi w:val="0"/>
              <w:spacing w:before="0" w:after="1"/>
              <w:ind w:left="0" w:right="0" w:hanging="0"/>
              <w:jc w:val="left"/>
              <w:rPr/>
            </w:pPr>
            <w:r>
              <w:rPr/>
              <w:t>​</w:t>
            </w:r>
          </w:p>
        </w:tc>
      </w:tr>
      <w:tr>
        <w:trPr/>
        <w:tc>
          <w:tcPr>
            <w:tcW w:w="343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Current liabilities</w:t>
            </w:r>
          </w:p>
        </w:tc>
        <w:tc>
          <w:tcPr>
            <w:tcW w:w="346" w:type="dxa"/>
            <w:tcBorders/>
            <w:vAlign w:val="center"/>
          </w:tcPr>
          <w:p>
            <w:pPr>
              <w:pStyle w:val="TableContents"/>
              <w:bidi w:val="0"/>
              <w:spacing w:before="0" w:after="1"/>
              <w:ind w:left="0" w:right="0" w:hanging="0"/>
              <w:jc w:val="left"/>
              <w:rPr/>
            </w:pPr>
            <w:r>
              <w:rPr/>
              <w:t>​</w:t>
            </w:r>
          </w:p>
        </w:tc>
        <w:tc>
          <w:tcPr>
            <w:tcW w:w="295"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010"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368.8</w:t>
            </w:r>
          </w:p>
        </w:tc>
        <w:tc>
          <w:tcPr>
            <w:tcW w:w="346" w:type="dxa"/>
            <w:tcBorders/>
            <w:vAlign w:val="center"/>
          </w:tcPr>
          <w:p>
            <w:pPr>
              <w:pStyle w:val="TableContents"/>
              <w:bidi w:val="0"/>
              <w:spacing w:before="0" w:after="1"/>
              <w:ind w:left="0" w:right="0" w:hanging="0"/>
              <w:jc w:val="left"/>
              <w:rPr/>
            </w:pPr>
            <w:r>
              <w:rPr/>
              <w:t>​</w:t>
            </w:r>
          </w:p>
        </w:tc>
        <w:tc>
          <w:tcPr>
            <w:tcW w:w="216" w:type="dxa"/>
            <w:tcBorders/>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w:t>
            </w:r>
          </w:p>
        </w:tc>
        <w:tc>
          <w:tcPr>
            <w:tcW w:w="849" w:type="dxa"/>
            <w:tcBorders/>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311.0</w:t>
            </w:r>
          </w:p>
        </w:tc>
      </w:tr>
      <w:tr>
        <w:trPr/>
        <w:tc>
          <w:tcPr>
            <w:tcW w:w="343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Long-term debt</w:t>
            </w:r>
          </w:p>
        </w:tc>
        <w:tc>
          <w:tcPr>
            <w:tcW w:w="346" w:type="dxa"/>
            <w:tcBorders/>
            <w:shd w:fill="CCEEFF" w:val="clear"/>
            <w:vAlign w:val="center"/>
          </w:tcPr>
          <w:p>
            <w:pPr>
              <w:pStyle w:val="TableContents"/>
              <w:bidi w:val="0"/>
              <w:spacing w:before="0" w:after="1"/>
              <w:ind w:left="0" w:right="0" w:hanging="0"/>
              <w:jc w:val="left"/>
              <w:rPr/>
            </w:pPr>
            <w:r>
              <w:rPr/>
              <w:t>​</w:t>
            </w:r>
          </w:p>
        </w:tc>
        <w:tc>
          <w:tcPr>
            <w:tcW w:w="295" w:type="dxa"/>
            <w:tcBorders/>
            <w:shd w:fill="CCEEFF" w:val="clear"/>
            <w:vAlign w:val="center"/>
          </w:tcPr>
          <w:p>
            <w:pPr>
              <w:pStyle w:val="TableContents"/>
              <w:bidi w:val="0"/>
              <w:spacing w:before="0" w:after="1"/>
              <w:ind w:left="0" w:right="0" w:hanging="0"/>
              <w:jc w:val="left"/>
              <w:rPr/>
            </w:pPr>
            <w:r>
              <w:rPr/>
              <w:t> </w:t>
            </w:r>
          </w:p>
        </w:tc>
        <w:tc>
          <w:tcPr>
            <w:tcW w:w="1010"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557.4</w:t>
            </w:r>
          </w:p>
        </w:tc>
        <w:tc>
          <w:tcPr>
            <w:tcW w:w="346" w:type="dxa"/>
            <w:tcBorders/>
            <w:shd w:fill="CCEEFF" w:val="clear"/>
            <w:vAlign w:val="center"/>
          </w:tcPr>
          <w:p>
            <w:pPr>
              <w:pStyle w:val="TableContents"/>
              <w:bidi w:val="0"/>
              <w:spacing w:before="0" w:after="1"/>
              <w:ind w:left="0" w:right="0" w:hanging="0"/>
              <w:jc w:val="left"/>
              <w:rPr/>
            </w:pPr>
            <w:r>
              <w:rPr/>
              <w:t>​</w:t>
            </w:r>
          </w:p>
        </w:tc>
        <w:tc>
          <w:tcPr>
            <w:tcW w:w="216" w:type="dxa"/>
            <w:tcBorders/>
            <w:shd w:fill="CCEEFF" w:val="clear"/>
            <w:vAlign w:val="center"/>
          </w:tcPr>
          <w:p>
            <w:pPr>
              <w:pStyle w:val="TableContents"/>
              <w:bidi w:val="0"/>
              <w:spacing w:before="0" w:after="1"/>
              <w:ind w:left="0" w:right="0" w:hanging="0"/>
              <w:jc w:val="left"/>
              <w:rPr/>
            </w:pPr>
            <w:r>
              <w:rPr/>
              <w:t> </w:t>
            </w:r>
          </w:p>
        </w:tc>
        <w:tc>
          <w:tcPr>
            <w:tcW w:w="849" w:type="dxa"/>
            <w:tcBorders/>
            <w:shd w:fill="CCEEFF" w:val="cle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602.7</w:t>
            </w:r>
          </w:p>
        </w:tc>
      </w:tr>
      <w:tr>
        <w:trPr/>
        <w:tc>
          <w:tcPr>
            <w:tcW w:w="343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Accrued pension costs</w:t>
            </w:r>
          </w:p>
        </w:tc>
        <w:tc>
          <w:tcPr>
            <w:tcW w:w="346" w:type="dxa"/>
            <w:tcBorders/>
            <w:vAlign w:val="center"/>
          </w:tcPr>
          <w:p>
            <w:pPr>
              <w:pStyle w:val="TableContents"/>
              <w:bidi w:val="0"/>
              <w:spacing w:before="0" w:after="1"/>
              <w:ind w:left="0" w:right="0" w:hanging="0"/>
              <w:jc w:val="left"/>
              <w:rPr/>
            </w:pPr>
            <w:r>
              <w:rPr/>
              <w:t>​</w:t>
            </w:r>
          </w:p>
        </w:tc>
        <w:tc>
          <w:tcPr>
            <w:tcW w:w="295" w:type="dxa"/>
            <w:tcBorders/>
            <w:vAlign w:val="center"/>
          </w:tcPr>
          <w:p>
            <w:pPr>
              <w:pStyle w:val="TableContents"/>
              <w:bidi w:val="0"/>
              <w:spacing w:before="0" w:after="1"/>
              <w:ind w:left="0" w:right="0" w:hanging="0"/>
              <w:jc w:val="left"/>
              <w:rPr/>
            </w:pPr>
            <w:r>
              <w:rPr/>
              <w:t> </w:t>
            </w:r>
          </w:p>
        </w:tc>
        <w:tc>
          <w:tcPr>
            <w:tcW w:w="1010"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80.9</w:t>
            </w:r>
          </w:p>
        </w:tc>
        <w:tc>
          <w:tcPr>
            <w:tcW w:w="346" w:type="dxa"/>
            <w:tcBorders/>
            <w:vAlign w:val="center"/>
          </w:tcPr>
          <w:p>
            <w:pPr>
              <w:pStyle w:val="TableContents"/>
              <w:bidi w:val="0"/>
              <w:spacing w:before="0" w:after="1"/>
              <w:ind w:left="0" w:right="0" w:hanging="0"/>
              <w:jc w:val="left"/>
              <w:rPr/>
            </w:pPr>
            <w:r>
              <w:rPr/>
              <w:t>​</w:t>
            </w:r>
          </w:p>
        </w:tc>
        <w:tc>
          <w:tcPr>
            <w:tcW w:w="216" w:type="dxa"/>
            <w:tcBorders/>
            <w:vAlign w:val="center"/>
          </w:tcPr>
          <w:p>
            <w:pPr>
              <w:pStyle w:val="TableContents"/>
              <w:bidi w:val="0"/>
              <w:spacing w:before="0" w:after="1"/>
              <w:ind w:left="0" w:right="0" w:hanging="0"/>
              <w:jc w:val="left"/>
              <w:rPr/>
            </w:pPr>
            <w:r>
              <w:rPr/>
              <w:t> </w:t>
            </w:r>
          </w:p>
        </w:tc>
        <w:tc>
          <w:tcPr>
            <w:tcW w:w="849" w:type="dxa"/>
            <w:tcBorders/>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76.4</w:t>
            </w:r>
          </w:p>
        </w:tc>
      </w:tr>
      <w:tr>
        <w:trPr/>
        <w:tc>
          <w:tcPr>
            <w:tcW w:w="343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Other noncurrent liabilities</w:t>
            </w:r>
          </w:p>
        </w:tc>
        <w:tc>
          <w:tcPr>
            <w:tcW w:w="346" w:type="dxa"/>
            <w:tcBorders/>
            <w:shd w:fill="CCEEFF" w:val="clear"/>
            <w:vAlign w:val="center"/>
          </w:tcPr>
          <w:p>
            <w:pPr>
              <w:pStyle w:val="TableContents"/>
              <w:bidi w:val="0"/>
              <w:spacing w:before="0" w:after="1"/>
              <w:ind w:left="0" w:right="0" w:hanging="0"/>
              <w:jc w:val="left"/>
              <w:rPr/>
            </w:pPr>
            <w:r>
              <w:rPr/>
              <w:t>​</w:t>
            </w:r>
          </w:p>
        </w:tc>
        <w:tc>
          <w:tcPr>
            <w:tcW w:w="295" w:type="dxa"/>
            <w:tcBorders/>
            <w:shd w:fill="CCEEFF" w:val="clear"/>
            <w:vAlign w:val="center"/>
          </w:tcPr>
          <w:p>
            <w:pPr>
              <w:pStyle w:val="TableContents"/>
              <w:bidi w:val="0"/>
              <w:spacing w:before="0" w:after="1"/>
              <w:ind w:left="0" w:right="0" w:hanging="0"/>
              <w:jc w:val="left"/>
              <w:rPr/>
            </w:pPr>
            <w:r>
              <w:rPr/>
              <w:t> </w:t>
            </w:r>
          </w:p>
        </w:tc>
        <w:tc>
          <w:tcPr>
            <w:tcW w:w="1010"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58.6</w:t>
            </w:r>
          </w:p>
        </w:tc>
        <w:tc>
          <w:tcPr>
            <w:tcW w:w="346" w:type="dxa"/>
            <w:tcBorders/>
            <w:shd w:fill="CCEEFF" w:val="clear"/>
            <w:vAlign w:val="center"/>
          </w:tcPr>
          <w:p>
            <w:pPr>
              <w:pStyle w:val="TableContents"/>
              <w:bidi w:val="0"/>
              <w:spacing w:before="0" w:after="1"/>
              <w:ind w:left="0" w:right="0" w:hanging="0"/>
              <w:jc w:val="left"/>
              <w:rPr/>
            </w:pPr>
            <w:r>
              <w:rPr/>
              <w:t>​</w:t>
            </w:r>
          </w:p>
        </w:tc>
        <w:tc>
          <w:tcPr>
            <w:tcW w:w="216" w:type="dxa"/>
            <w:tcBorders/>
            <w:shd w:fill="CCEEFF" w:val="clear"/>
            <w:vAlign w:val="center"/>
          </w:tcPr>
          <w:p>
            <w:pPr>
              <w:pStyle w:val="TableContents"/>
              <w:bidi w:val="0"/>
              <w:spacing w:before="0" w:after="1"/>
              <w:ind w:left="0" w:right="0" w:hanging="0"/>
              <w:jc w:val="left"/>
              <w:rPr/>
            </w:pPr>
            <w:r>
              <w:rPr/>
              <w:t> </w:t>
            </w:r>
          </w:p>
        </w:tc>
        <w:tc>
          <w:tcPr>
            <w:tcW w:w="849" w:type="dxa"/>
            <w:tcBorders/>
            <w:shd w:fill="CCEEFF" w:val="cle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63.2</w:t>
            </w:r>
          </w:p>
        </w:tc>
      </w:tr>
      <w:tr>
        <w:trPr/>
        <w:tc>
          <w:tcPr>
            <w:tcW w:w="343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Stockholders’ equity</w:t>
            </w:r>
          </w:p>
        </w:tc>
        <w:tc>
          <w:tcPr>
            <w:tcW w:w="346" w:type="dxa"/>
            <w:tcBorders/>
            <w:vAlign w:val="center"/>
          </w:tcPr>
          <w:p>
            <w:pPr>
              <w:pStyle w:val="TableContents"/>
              <w:bidi w:val="0"/>
              <w:spacing w:before="0" w:after="1"/>
              <w:ind w:left="0" w:right="0" w:hanging="0"/>
              <w:jc w:val="left"/>
              <w:rPr/>
            </w:pPr>
            <w:r>
              <w:rPr/>
              <w:t>​</w:t>
            </w:r>
          </w:p>
        </w:tc>
        <w:tc>
          <w:tcPr>
            <w:tcW w:w="295"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1010"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751.1</w:t>
            </w:r>
          </w:p>
        </w:tc>
        <w:tc>
          <w:tcPr>
            <w:tcW w:w="346" w:type="dxa"/>
            <w:tcBorders/>
            <w:vAlign w:val="center"/>
          </w:tcPr>
          <w:p>
            <w:pPr>
              <w:pStyle w:val="TableContents"/>
              <w:bidi w:val="0"/>
              <w:spacing w:before="0" w:after="1"/>
              <w:ind w:left="0" w:right="0" w:hanging="0"/>
              <w:jc w:val="left"/>
              <w:rPr/>
            </w:pPr>
            <w:r>
              <w:rPr/>
              <w:t>​</w:t>
            </w:r>
          </w:p>
        </w:tc>
        <w:tc>
          <w:tcPr>
            <w:tcW w:w="216"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849"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745.0</w:t>
            </w:r>
          </w:p>
        </w:tc>
      </w:tr>
      <w:tr>
        <w:trPr/>
        <w:tc>
          <w:tcPr>
            <w:tcW w:w="343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Total liabilities and stockholders’ equity</w:t>
            </w:r>
          </w:p>
        </w:tc>
        <w:tc>
          <w:tcPr>
            <w:tcW w:w="346" w:type="dxa"/>
            <w:tcBorders/>
            <w:shd w:fill="CCEEFF" w:val="clear"/>
            <w:vAlign w:val="center"/>
          </w:tcPr>
          <w:p>
            <w:pPr>
              <w:pStyle w:val="TableContents"/>
              <w:bidi w:val="0"/>
              <w:spacing w:before="0" w:after="1"/>
              <w:ind w:left="0" w:right="0" w:hanging="0"/>
              <w:jc w:val="left"/>
              <w:rPr/>
            </w:pPr>
            <w:r>
              <w:rPr/>
              <w:t>​</w:t>
            </w:r>
          </w:p>
        </w:tc>
        <w:tc>
          <w:tcPr>
            <w:tcW w:w="295"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010"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1,816.8</w:t>
            </w:r>
          </w:p>
        </w:tc>
        <w:tc>
          <w:tcPr>
            <w:tcW w:w="346" w:type="dxa"/>
            <w:tcBorders/>
            <w:shd w:fill="CCEEFF" w:val="clear"/>
            <w:vAlign w:val="center"/>
          </w:tcPr>
          <w:p>
            <w:pPr>
              <w:pStyle w:val="TableContents"/>
              <w:bidi w:val="0"/>
              <w:spacing w:before="0" w:after="1"/>
              <w:ind w:left="0" w:right="0" w:hanging="0"/>
              <w:jc w:val="left"/>
              <w:rPr/>
            </w:pPr>
            <w:r>
              <w:rPr/>
              <w:t>​</w:t>
            </w:r>
          </w:p>
        </w:tc>
        <w:tc>
          <w:tcPr>
            <w:tcW w:w="216"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w:t>
            </w:r>
          </w:p>
        </w:tc>
        <w:tc>
          <w:tcPr>
            <w:tcW w:w="849" w:type="dxa"/>
            <w:tcBorders>
              <w:bottom w:val="double" w:sz="6" w:space="0" w:color="000000"/>
            </w:tcBorders>
            <w:shd w:fill="CCEEFF" w:val="clear"/>
            <w:tcMar>
              <w:bottom w:w="28" w:type="dxa"/>
            </w:tcMar>
            <w:vAlign w:val="center"/>
          </w:tcPr>
          <w:p>
            <w:pPr>
              <w:pStyle w:val="TableContents"/>
              <w:bidi w:val="0"/>
              <w:spacing w:before="0" w:after="1"/>
              <w:ind w:left="0" w:right="60" w:hanging="0"/>
              <w:jc w:val="right"/>
              <w:rPr>
                <w:rFonts w:ascii="Times New Roman;Times;serif" w:hAnsi="Times New Roman;Times;serif"/>
                <w:b/>
                <w:sz w:val="20"/>
              </w:rPr>
            </w:pPr>
            <w:r>
              <w:rPr>
                <w:rFonts w:ascii="Times New Roman;Times;serif" w:hAnsi="Times New Roman;Times;serif"/>
                <w:b/>
                <w:sz w:val="20"/>
              </w:rPr>
              <w:t>1,798.3</w:t>
            </w:r>
          </w:p>
        </w:tc>
      </w:tr>
    </w:tbl>
    <w:p>
      <w:pPr>
        <w:pStyle w:val="TextBody"/>
        <w:bidi w:val="0"/>
        <w:spacing w:before="0" w:after="240"/>
        <w:ind w:left="0" w:right="0" w:firstLine="360"/>
        <w:jc w:val="both"/>
        <w:rPr/>
      </w:pPr>
      <w:r>
        <w:rPr/>
        <w:t>​</w:t>
      </w:r>
    </w:p>
    <w:tbl>
      <w:tblPr>
        <w:tblW w:w="4342" w:type="dxa"/>
        <w:jc w:val="left"/>
        <w:tblInd w:w="0" w:type="dxa"/>
        <w:tblLayout w:type="fixed"/>
        <w:tblCellMar>
          <w:top w:w="0" w:type="dxa"/>
          <w:left w:w="0" w:type="dxa"/>
          <w:bottom w:w="0" w:type="dxa"/>
          <w:right w:w="0" w:type="dxa"/>
        </w:tblCellMar>
      </w:tblPr>
      <w:tblGrid>
        <w:gridCol w:w="2041"/>
        <w:gridCol w:w="346"/>
        <w:gridCol w:w="211"/>
        <w:gridCol w:w="571"/>
        <w:gridCol w:w="346"/>
        <w:gridCol w:w="211"/>
        <w:gridCol w:w="616"/>
      </w:tblGrid>
      <w:tr>
        <w:trPr/>
        <w:tc>
          <w:tcPr>
            <w:tcW w:w="20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3">
                      <wp:simplePos x="0" y="0"/>
                      <wp:positionH relativeFrom="character">
                        <wp:align>left</wp:align>
                      </wp:positionH>
                      <wp:positionV relativeFrom="line">
                        <wp:posOffset>635</wp:posOffset>
                      </wp:positionV>
                      <wp:extent cx="1296035" cy="175260"/>
                      <wp:effectExtent l="0" t="0" r="0" b="0"/>
                      <wp:wrapNone/>
                      <wp:docPr id="102" name="Frame102"/>
                      <a:graphic xmlns:a="http://schemas.openxmlformats.org/drawingml/2006/main">
                        <a:graphicData uri="http://schemas.microsoft.com/office/word/2010/wordprocessingShape">
                          <wps:wsp>
                            <wps:cNvSpPr txBox="1"/>
                            <wps:spPr>
                              <a:xfrm>
                                <a:off x="0" y="0"/>
                                <a:ext cx="12960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2.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4">
                      <wp:simplePos x="0" y="0"/>
                      <wp:positionH relativeFrom="character">
                        <wp:align>left</wp:align>
                      </wp:positionH>
                      <wp:positionV relativeFrom="line">
                        <wp:posOffset>635</wp:posOffset>
                      </wp:positionV>
                      <wp:extent cx="219710" cy="175260"/>
                      <wp:effectExtent l="0" t="0" r="0" b="0"/>
                      <wp:wrapNone/>
                      <wp:docPr id="103" name="Frame103"/>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5">
                      <wp:simplePos x="0" y="0"/>
                      <wp:positionH relativeFrom="character">
                        <wp:align>left</wp:align>
                      </wp:positionH>
                      <wp:positionV relativeFrom="line">
                        <wp:posOffset>635</wp:posOffset>
                      </wp:positionV>
                      <wp:extent cx="133985" cy="175260"/>
                      <wp:effectExtent l="0" t="0" r="0" b="0"/>
                      <wp:wrapNone/>
                      <wp:docPr id="104" name="Frame104"/>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6">
                      <wp:simplePos x="0" y="0"/>
                      <wp:positionH relativeFrom="character">
                        <wp:align>left</wp:align>
                      </wp:positionH>
                      <wp:positionV relativeFrom="line">
                        <wp:posOffset>635</wp:posOffset>
                      </wp:positionV>
                      <wp:extent cx="362585" cy="175260"/>
                      <wp:effectExtent l="0" t="0" r="0" b="0"/>
                      <wp:wrapNone/>
                      <wp:docPr id="105" name="Frame105"/>
                      <a:graphic xmlns:a="http://schemas.openxmlformats.org/drawingml/2006/main">
                        <a:graphicData uri="http://schemas.microsoft.com/office/word/2010/wordprocessingShape">
                          <wps:wsp>
                            <wps:cNvSpPr txBox="1"/>
                            <wps:spPr>
                              <a:xfrm>
                                <a:off x="0" y="0"/>
                                <a:ext cx="3625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7">
                      <wp:simplePos x="0" y="0"/>
                      <wp:positionH relativeFrom="character">
                        <wp:align>left</wp:align>
                      </wp:positionH>
                      <wp:positionV relativeFrom="line">
                        <wp:posOffset>635</wp:posOffset>
                      </wp:positionV>
                      <wp:extent cx="219710" cy="175260"/>
                      <wp:effectExtent l="0" t="0" r="0" b="0"/>
                      <wp:wrapNone/>
                      <wp:docPr id="106" name="Frame106"/>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8">
                      <wp:simplePos x="0" y="0"/>
                      <wp:positionH relativeFrom="character">
                        <wp:align>left</wp:align>
                      </wp:positionH>
                      <wp:positionV relativeFrom="line">
                        <wp:posOffset>635</wp:posOffset>
                      </wp:positionV>
                      <wp:extent cx="133985" cy="175260"/>
                      <wp:effectExtent l="0" t="0" r="0" b="0"/>
                      <wp:wrapNone/>
                      <wp:docPr id="107" name="Frame107"/>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9">
                      <wp:simplePos x="0" y="0"/>
                      <wp:positionH relativeFrom="character">
                        <wp:align>left</wp:align>
                      </wp:positionH>
                      <wp:positionV relativeFrom="line">
                        <wp:posOffset>635</wp:posOffset>
                      </wp:positionV>
                      <wp:extent cx="391160" cy="175260"/>
                      <wp:effectExtent l="0" t="0" r="0" b="0"/>
                      <wp:wrapNone/>
                      <wp:docPr id="108" name="Frame108"/>
                      <a:graphic xmlns:a="http://schemas.openxmlformats.org/drawingml/2006/main">
                        <a:graphicData uri="http://schemas.microsoft.com/office/word/2010/wordprocessingShape">
                          <wps:wsp>
                            <wps:cNvSpPr txBox="1"/>
                            <wps:spPr>
                              <a:xfrm>
                                <a:off x="0" y="0"/>
                                <a:ext cx="3911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0.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04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955" w:type="dxa"/>
            <w:gridSpan w:val="5"/>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 xml:space="preserve">Three months ended </w:t>
            </w:r>
          </w:p>
        </w:tc>
      </w:tr>
      <w:tr>
        <w:trPr/>
        <w:tc>
          <w:tcPr>
            <w:tcW w:w="204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955"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March 31, </w:t>
            </w:r>
          </w:p>
        </w:tc>
      </w:tr>
      <w:tr>
        <w:trPr/>
        <w:tc>
          <w:tcPr>
            <w:tcW w:w="204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 ​ ​</w:t>
            </w:r>
          </w:p>
        </w:tc>
        <w:tc>
          <w:tcPr>
            <w:tcW w:w="78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2025</w:t>
            </w:r>
          </w:p>
        </w:tc>
        <w:tc>
          <w:tcPr>
            <w:tcW w:w="346" w:type="dxa"/>
            <w:tcBorders/>
            <w:vAlign w:val="center"/>
          </w:tcPr>
          <w:p>
            <w:pPr>
              <w:pStyle w:val="TableContents"/>
              <w:bidi w:val="0"/>
              <w:spacing w:before="0" w:after="0"/>
              <w:ind w:left="0" w:right="0" w:hanging="0"/>
              <w:jc w:val="left"/>
              <w:rPr/>
            </w:pPr>
            <w:r>
              <w:rPr/>
              <w:t>  ​ ​ ​</w:t>
            </w:r>
          </w:p>
        </w:tc>
        <w:tc>
          <w:tcPr>
            <w:tcW w:w="82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2026</w:t>
            </w:r>
          </w:p>
        </w:tc>
      </w:tr>
      <w:tr>
        <w:trPr/>
        <w:tc>
          <w:tcPr>
            <w:tcW w:w="4342" w:type="dxa"/>
            <w:gridSpan w:val="7"/>
            <w:tcBorders/>
            <w:vAlign w:val="center"/>
          </w:tcPr>
          <w:p>
            <w:pPr>
              <w:pStyle w:val="TableContents"/>
              <w:bidi w:val="0"/>
              <w:spacing w:before="0" w:after="283"/>
              <w:ind w:left="0" w:right="0" w:hanging="0"/>
              <w:jc w:val="left"/>
              <w:rPr>
                <w:sz w:val="4"/>
                <w:szCs w:val="4"/>
              </w:rPr>
            </w:pPr>
            <w:r>
              <w:rPr>
                <w:sz w:val="4"/>
                <w:szCs w:val="4"/>
              </w:rPr>
            </w:r>
          </w:p>
        </w:tc>
      </w:tr>
      <w:tr>
        <w:trPr/>
        <w:tc>
          <w:tcPr>
            <w:tcW w:w="204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1955" w:type="dxa"/>
            <w:gridSpan w:val="5"/>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(In millions)</w:t>
            </w:r>
          </w:p>
        </w:tc>
      </w:tr>
      <w:tr>
        <w:trPr/>
        <w:tc>
          <w:tcPr>
            <w:tcW w:w="204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sales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489.8</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616"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509.8</w:t>
            </w:r>
          </w:p>
        </w:tc>
      </w:tr>
      <w:tr>
        <w:trPr/>
        <w:tc>
          <w:tcPr>
            <w:tcW w:w="204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Cost of sales</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383.0</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616" w:type="dxa"/>
            <w:tcBorders/>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426.5</w:t>
            </w:r>
          </w:p>
        </w:tc>
      </w:tr>
      <w:tr>
        <w:trPr/>
        <w:tc>
          <w:tcPr>
            <w:tcW w:w="204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Income from operations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5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38.4</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616"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12.6</w:t>
            </w:r>
          </w:p>
        </w:tc>
      </w:tr>
      <w:tr>
        <w:trPr/>
        <w:tc>
          <w:tcPr>
            <w:tcW w:w="204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Income tax expense</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7.6</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616" w:type="dxa"/>
            <w:tcBorders/>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2.8</w:t>
            </w:r>
          </w:p>
        </w:tc>
      </w:tr>
      <w:tr>
        <w:trPr/>
        <w:tc>
          <w:tcPr>
            <w:tcW w:w="204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income (loss)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5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18.1</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616"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(4.8)</w:t>
            </w:r>
          </w:p>
        </w:tc>
      </w:tr>
    </w:tbl>
    <w:p>
      <w:pPr>
        <w:pStyle w:val="TextBody"/>
        <w:bidi w:val="0"/>
        <w:spacing w:before="0" w:after="0"/>
        <w:ind w:left="0" w:right="0" w:firstLine="720"/>
        <w:jc w:val="both"/>
        <w:rPr/>
      </w:pPr>
      <w:r>
        <w:rPr/>
        <w:t>​</w:t>
      </w:r>
    </w:p>
    <w:p>
      <w:pPr>
        <w:pStyle w:val="TextBody"/>
        <w:bidi w:val="0"/>
        <w:spacing w:before="0" w:after="0"/>
        <w:ind w:left="0" w:right="0" w:firstLine="720"/>
        <w:jc w:val="both"/>
        <w:rPr/>
      </w:pPr>
      <w:r>
        <w:rPr/>
        <w:t>​</w:t>
      </w:r>
    </w:p>
    <w:p>
      <w:pPr>
        <w:pStyle w:val="TextBody"/>
        <w:bidi w:val="0"/>
        <w:spacing w:before="0" w:after="240"/>
        <w:ind w:left="0" w:right="0" w:firstLine="360"/>
        <w:jc w:val="both"/>
        <w:rPr/>
      </w:pPr>
      <w:r>
        <w:rPr/>
        <w:t>​</w:t>
      </w:r>
    </w:p>
    <w:p>
      <w:pPr>
        <w:pStyle w:val="TextBody"/>
        <w:bidi w:val="0"/>
        <w:spacing w:before="0" w:after="240"/>
        <w:ind w:left="0" w:right="0" w:hanging="0"/>
        <w:jc w:val="left"/>
        <w:rPr>
          <w:rFonts w:ascii="Times New Roman;Times;serif" w:hAnsi="Times New Roman;Times;serif"/>
          <w:b/>
          <w:sz w:val="20"/>
        </w:rPr>
      </w:pPr>
      <w:bookmarkStart w:id="692" w:name="Tc_No_8YH7YBUe5-zydALiuxw_6_5"/>
      <w:bookmarkStart w:id="693" w:name="Tc_DcICb34sLUu3s24GOpoF_g_6_2"/>
      <w:bookmarkStart w:id="694" w:name="Tc_SxNRnleLZkuulpClg5MTWQ_6_0"/>
      <w:bookmarkStart w:id="695" w:name="Tc_xKssxCwLv06fypDDnGtUyQ_5_0"/>
      <w:bookmarkStart w:id="696" w:name="Tc_Q8c0DvSaUEib5le9cazWvw_4_5"/>
      <w:bookmarkStart w:id="697" w:name="Tc_K5ZNsgY_Y0qm073E45XKew_4_2"/>
      <w:bookmarkStart w:id="698" w:name="Tc_TXVdUU4rxkehkLq6L_6rwA_4_0"/>
      <w:bookmarkStart w:id="699" w:name="Tc_Q6a7X4-1XESy4ErvupPOiQ_3_2"/>
      <w:bookmarkStart w:id="700" w:name="Tc_ffEJ99fkm0CWHxHAifammA_2_5"/>
      <w:bookmarkStart w:id="701" w:name="Tc__PyhUi53VU2ceXLKEAgzbA_2_2"/>
      <w:bookmarkStart w:id="702" w:name="Tc_7VqzU7XQZ0iYauLjTB--FA_1_5"/>
      <w:bookmarkStart w:id="703" w:name="Tc_ATCf3U6vnEGfntL5K-_CWw_1_2"/>
      <w:bookmarkEnd w:id="692"/>
      <w:bookmarkEnd w:id="693"/>
      <w:bookmarkEnd w:id="694"/>
      <w:bookmarkEnd w:id="695"/>
      <w:bookmarkEnd w:id="696"/>
      <w:bookmarkEnd w:id="697"/>
      <w:bookmarkEnd w:id="698"/>
      <w:bookmarkEnd w:id="699"/>
      <w:bookmarkEnd w:id="700"/>
      <w:bookmarkEnd w:id="701"/>
      <w:bookmarkEnd w:id="702"/>
      <w:bookmarkEnd w:id="703"/>
      <w:r>
        <w:rPr>
          <w:rFonts w:ascii="Times New Roman;Times;serif" w:hAnsi="Times New Roman;Times;serif"/>
          <w:b/>
          <w:sz w:val="20"/>
        </w:rPr>
        <w:t>Note 7– Accrued and other current liabilities:</w:t>
      </w:r>
    </w:p>
    <w:p>
      <w:pPr>
        <w:pStyle w:val="TextBody"/>
        <w:bidi w:val="0"/>
        <w:spacing w:before="0" w:after="0"/>
        <w:ind w:left="0" w:right="0" w:hanging="0"/>
        <w:jc w:val="left"/>
        <w:rPr/>
      </w:pPr>
      <w:r>
        <w:rPr/>
        <w:t>​</w:t>
      </w:r>
    </w:p>
    <w:tbl>
      <w:tblPr>
        <w:tblW w:w="4698" w:type="dxa"/>
        <w:jc w:val="left"/>
        <w:tblInd w:w="0" w:type="dxa"/>
        <w:tblLayout w:type="fixed"/>
        <w:tblCellMar>
          <w:top w:w="0" w:type="dxa"/>
          <w:left w:w="0" w:type="dxa"/>
          <w:bottom w:w="0" w:type="dxa"/>
          <w:right w:w="0" w:type="dxa"/>
        </w:tblCellMar>
      </w:tblPr>
      <w:tblGrid>
        <w:gridCol w:w="1636"/>
        <w:gridCol w:w="346"/>
        <w:gridCol w:w="310"/>
        <w:gridCol w:w="995"/>
        <w:gridCol w:w="346"/>
        <w:gridCol w:w="253"/>
        <w:gridCol w:w="812"/>
      </w:tblGrid>
      <w:tr>
        <w:trPr/>
        <w:tc>
          <w:tcPr>
            <w:tcW w:w="16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0">
                      <wp:simplePos x="0" y="0"/>
                      <wp:positionH relativeFrom="character">
                        <wp:align>left</wp:align>
                      </wp:positionH>
                      <wp:positionV relativeFrom="line">
                        <wp:posOffset>635</wp:posOffset>
                      </wp:positionV>
                      <wp:extent cx="1038860" cy="175260"/>
                      <wp:effectExtent l="0" t="0" r="0" b="0"/>
                      <wp:wrapNone/>
                      <wp:docPr id="109" name="Frame109"/>
                      <a:graphic xmlns:a="http://schemas.openxmlformats.org/drawingml/2006/main">
                        <a:graphicData uri="http://schemas.microsoft.com/office/word/2010/wordprocessingShape">
                          <wps:wsp>
                            <wps:cNvSpPr txBox="1"/>
                            <wps:spPr>
                              <a:xfrm>
                                <a:off x="0" y="0"/>
                                <a:ext cx="10388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8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1">
                      <wp:simplePos x="0" y="0"/>
                      <wp:positionH relativeFrom="character">
                        <wp:align>left</wp:align>
                      </wp:positionH>
                      <wp:positionV relativeFrom="line">
                        <wp:posOffset>635</wp:posOffset>
                      </wp:positionV>
                      <wp:extent cx="219710" cy="175260"/>
                      <wp:effectExtent l="0" t="0" r="0" b="0"/>
                      <wp:wrapNone/>
                      <wp:docPr id="110" name="Frame110"/>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1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2">
                      <wp:simplePos x="0" y="0"/>
                      <wp:positionH relativeFrom="character">
                        <wp:align>left</wp:align>
                      </wp:positionH>
                      <wp:positionV relativeFrom="line">
                        <wp:posOffset>635</wp:posOffset>
                      </wp:positionV>
                      <wp:extent cx="196850" cy="175260"/>
                      <wp:effectExtent l="0" t="0" r="0" b="0"/>
                      <wp:wrapNone/>
                      <wp:docPr id="111" name="Frame111"/>
                      <a:graphic xmlns:a="http://schemas.openxmlformats.org/drawingml/2006/main">
                        <a:graphicData uri="http://schemas.microsoft.com/office/word/2010/wordprocessingShape">
                          <wps:wsp>
                            <wps:cNvSpPr txBox="1"/>
                            <wps:spPr>
                              <a:xfrm>
                                <a:off x="0" y="0"/>
                                <a:ext cx="19685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9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3">
                      <wp:simplePos x="0" y="0"/>
                      <wp:positionH relativeFrom="character">
                        <wp:align>left</wp:align>
                      </wp:positionH>
                      <wp:positionV relativeFrom="line">
                        <wp:posOffset>635</wp:posOffset>
                      </wp:positionV>
                      <wp:extent cx="631825" cy="175260"/>
                      <wp:effectExtent l="0" t="0" r="0" b="0"/>
                      <wp:wrapNone/>
                      <wp:docPr id="112" name="Frame112"/>
                      <a:graphic xmlns:a="http://schemas.openxmlformats.org/drawingml/2006/main">
                        <a:graphicData uri="http://schemas.microsoft.com/office/word/2010/wordprocessingShape">
                          <wps:wsp>
                            <wps:cNvSpPr txBox="1"/>
                            <wps:spPr>
                              <a:xfrm>
                                <a:off x="0" y="0"/>
                                <a:ext cx="63182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9.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4">
                      <wp:simplePos x="0" y="0"/>
                      <wp:positionH relativeFrom="character">
                        <wp:align>left</wp:align>
                      </wp:positionH>
                      <wp:positionV relativeFrom="line">
                        <wp:posOffset>635</wp:posOffset>
                      </wp:positionV>
                      <wp:extent cx="219710" cy="175260"/>
                      <wp:effectExtent l="0" t="0" r="0" b="0"/>
                      <wp:wrapNone/>
                      <wp:docPr id="113" name="Frame113"/>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5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5">
                      <wp:simplePos x="0" y="0"/>
                      <wp:positionH relativeFrom="character">
                        <wp:align>left</wp:align>
                      </wp:positionH>
                      <wp:positionV relativeFrom="line">
                        <wp:posOffset>635</wp:posOffset>
                      </wp:positionV>
                      <wp:extent cx="160655" cy="175260"/>
                      <wp:effectExtent l="0" t="0" r="0" b="0"/>
                      <wp:wrapNone/>
                      <wp:docPr id="114" name="Frame114"/>
                      <a:graphic xmlns:a="http://schemas.openxmlformats.org/drawingml/2006/main">
                        <a:graphicData uri="http://schemas.microsoft.com/office/word/2010/wordprocessingShape">
                          <wps:wsp>
                            <wps:cNvSpPr txBox="1"/>
                            <wps:spPr>
                              <a:xfrm>
                                <a:off x="0" y="0"/>
                                <a:ext cx="16065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1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6">
                      <wp:simplePos x="0" y="0"/>
                      <wp:positionH relativeFrom="character">
                        <wp:align>left</wp:align>
                      </wp:positionH>
                      <wp:positionV relativeFrom="line">
                        <wp:posOffset>635</wp:posOffset>
                      </wp:positionV>
                      <wp:extent cx="515620" cy="175260"/>
                      <wp:effectExtent l="0" t="0" r="0" b="0"/>
                      <wp:wrapNone/>
                      <wp:docPr id="115" name="Frame115"/>
                      <a:graphic xmlns:a="http://schemas.openxmlformats.org/drawingml/2006/main">
                        <a:graphicData uri="http://schemas.microsoft.com/office/word/2010/wordprocessingShape">
                          <wps:wsp>
                            <wps:cNvSpPr txBox="1"/>
                            <wps:spPr>
                              <a:xfrm>
                                <a:off x="0" y="0"/>
                                <a:ext cx="51562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0.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163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305" w:type="dxa"/>
            <w:gridSpan w:val="2"/>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December 31, </w:t>
            </w:r>
          </w:p>
        </w:tc>
        <w:tc>
          <w:tcPr>
            <w:tcW w:w="346" w:type="dxa"/>
            <w:tcBorders/>
            <w:vAlign w:val="center"/>
          </w:tcPr>
          <w:p>
            <w:pPr>
              <w:pStyle w:val="TableContents"/>
              <w:bidi w:val="0"/>
              <w:spacing w:before="0" w:after="0"/>
              <w:ind w:left="0" w:right="0" w:hanging="0"/>
              <w:jc w:val="left"/>
              <w:rPr/>
            </w:pPr>
            <w:r>
              <w:rPr/>
              <w:t>​</w:t>
            </w:r>
          </w:p>
        </w:tc>
        <w:tc>
          <w:tcPr>
            <w:tcW w:w="1065" w:type="dxa"/>
            <w:gridSpan w:val="2"/>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March 31, </w:t>
            </w:r>
          </w:p>
        </w:tc>
      </w:tr>
      <w:tr>
        <w:trPr/>
        <w:tc>
          <w:tcPr>
            <w:tcW w:w="163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 ​ ​</w:t>
            </w:r>
          </w:p>
        </w:tc>
        <w:tc>
          <w:tcPr>
            <w:tcW w:w="130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2025</w:t>
            </w:r>
          </w:p>
        </w:tc>
        <w:tc>
          <w:tcPr>
            <w:tcW w:w="346" w:type="dxa"/>
            <w:tcBorders/>
            <w:vAlign w:val="center"/>
          </w:tcPr>
          <w:p>
            <w:pPr>
              <w:pStyle w:val="TableContents"/>
              <w:bidi w:val="0"/>
              <w:spacing w:before="0" w:after="0"/>
              <w:ind w:left="0" w:right="0" w:hanging="0"/>
              <w:jc w:val="left"/>
              <w:rPr/>
            </w:pPr>
            <w:r>
              <w:rPr/>
              <w:t>  ​ ​ ​</w:t>
            </w:r>
          </w:p>
        </w:tc>
        <w:tc>
          <w:tcPr>
            <w:tcW w:w="106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2026</w:t>
            </w:r>
          </w:p>
        </w:tc>
      </w:tr>
      <w:tr>
        <w:trPr/>
        <w:tc>
          <w:tcPr>
            <w:tcW w:w="4698" w:type="dxa"/>
            <w:gridSpan w:val="7"/>
            <w:tcBorders/>
            <w:vAlign w:val="center"/>
          </w:tcPr>
          <w:p>
            <w:pPr>
              <w:pStyle w:val="TableContents"/>
              <w:bidi w:val="0"/>
              <w:spacing w:before="0" w:after="283"/>
              <w:ind w:left="0" w:right="0" w:hanging="0"/>
              <w:jc w:val="left"/>
              <w:rPr>
                <w:sz w:val="4"/>
                <w:szCs w:val="4"/>
              </w:rPr>
            </w:pPr>
            <w:r>
              <w:rPr>
                <w:sz w:val="4"/>
                <w:szCs w:val="4"/>
              </w:rPr>
            </w:r>
          </w:p>
        </w:tc>
      </w:tr>
      <w:tr>
        <w:trPr/>
        <w:tc>
          <w:tcPr>
            <w:tcW w:w="163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716" w:type="dxa"/>
            <w:gridSpan w:val="5"/>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(In thousands)</w:t>
            </w:r>
          </w:p>
        </w:tc>
      </w:tr>
      <w:tr>
        <w:trPr/>
        <w:tc>
          <w:tcPr>
            <w:tcW w:w="163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Employee benefits</w:t>
            </w:r>
          </w:p>
        </w:tc>
        <w:tc>
          <w:tcPr>
            <w:tcW w:w="346" w:type="dxa"/>
            <w:tcBorders/>
            <w:shd w:fill="CCEEFF" w:val="clear"/>
            <w:vAlign w:val="center"/>
          </w:tcPr>
          <w:p>
            <w:pPr>
              <w:pStyle w:val="TableContents"/>
              <w:bidi w:val="0"/>
              <w:spacing w:before="0" w:after="0"/>
              <w:ind w:left="0" w:right="0" w:hanging="0"/>
              <w:jc w:val="left"/>
              <w:rPr/>
            </w:pPr>
            <w:r>
              <w:rPr/>
              <w:t>​</w:t>
            </w:r>
          </w:p>
        </w:tc>
        <w:tc>
          <w:tcPr>
            <w:tcW w:w="31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9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11,569</w:t>
            </w:r>
          </w:p>
        </w:tc>
        <w:tc>
          <w:tcPr>
            <w:tcW w:w="346" w:type="dxa"/>
            <w:tcBorders/>
            <w:shd w:fill="CCEEFF" w:val="clear"/>
            <w:vAlign w:val="center"/>
          </w:tcPr>
          <w:p>
            <w:pPr>
              <w:pStyle w:val="TableContents"/>
              <w:bidi w:val="0"/>
              <w:spacing w:before="0" w:after="0"/>
              <w:ind w:left="0" w:right="0" w:hanging="0"/>
              <w:jc w:val="left"/>
              <w:rPr/>
            </w:pPr>
            <w:r>
              <w:rPr/>
              <w:t>​</w:t>
            </w:r>
          </w:p>
        </w:tc>
        <w:tc>
          <w:tcPr>
            <w:tcW w:w="253"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812"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5,896</w:t>
            </w:r>
          </w:p>
        </w:tc>
      </w:tr>
      <w:tr>
        <w:trPr/>
        <w:tc>
          <w:tcPr>
            <w:tcW w:w="163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w:t>
            </w:r>
          </w:p>
        </w:tc>
        <w:tc>
          <w:tcPr>
            <w:tcW w:w="346" w:type="dxa"/>
            <w:tcBorders/>
            <w:vAlign w:val="center"/>
          </w:tcPr>
          <w:p>
            <w:pPr>
              <w:pStyle w:val="TableContents"/>
              <w:bidi w:val="0"/>
              <w:spacing w:before="0" w:after="0"/>
              <w:ind w:left="0" w:right="0" w:hanging="0"/>
              <w:jc w:val="left"/>
              <w:rPr/>
            </w:pPr>
            <w:r>
              <w:rPr/>
              <w:t>​</w:t>
            </w:r>
          </w:p>
        </w:tc>
        <w:tc>
          <w:tcPr>
            <w:tcW w:w="310"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995"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3,452</w:t>
            </w:r>
          </w:p>
        </w:tc>
        <w:tc>
          <w:tcPr>
            <w:tcW w:w="346" w:type="dxa"/>
            <w:tcBorders/>
            <w:vAlign w:val="center"/>
          </w:tcPr>
          <w:p>
            <w:pPr>
              <w:pStyle w:val="TableContents"/>
              <w:bidi w:val="0"/>
              <w:spacing w:before="0" w:after="0"/>
              <w:ind w:left="0" w:right="0" w:hanging="0"/>
              <w:jc w:val="left"/>
              <w:rPr/>
            </w:pPr>
            <w:r>
              <w:rPr/>
              <w:t>​</w:t>
            </w:r>
          </w:p>
        </w:tc>
        <w:tc>
          <w:tcPr>
            <w:tcW w:w="253"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812"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2,276</w:t>
            </w:r>
          </w:p>
        </w:tc>
      </w:tr>
      <w:tr>
        <w:trPr/>
        <w:tc>
          <w:tcPr>
            <w:tcW w:w="163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w:t>
            </w:r>
          </w:p>
        </w:tc>
        <w:tc>
          <w:tcPr>
            <w:tcW w:w="346" w:type="dxa"/>
            <w:tcBorders/>
            <w:shd w:fill="CCEEFF" w:val="clear"/>
            <w:vAlign w:val="center"/>
          </w:tcPr>
          <w:p>
            <w:pPr>
              <w:pStyle w:val="TableContents"/>
              <w:bidi w:val="0"/>
              <w:spacing w:before="0" w:after="0"/>
              <w:ind w:left="0" w:right="0" w:hanging="0"/>
              <w:jc w:val="left"/>
              <w:rPr/>
            </w:pPr>
            <w:r>
              <w:rPr/>
              <w:t>​</w:t>
            </w:r>
          </w:p>
        </w:tc>
        <w:tc>
          <w:tcPr>
            <w:tcW w:w="310"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95"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15,021</w:t>
            </w:r>
          </w:p>
        </w:tc>
        <w:tc>
          <w:tcPr>
            <w:tcW w:w="346" w:type="dxa"/>
            <w:tcBorders/>
            <w:shd w:fill="CCEEFF" w:val="clear"/>
            <w:vAlign w:val="center"/>
          </w:tcPr>
          <w:p>
            <w:pPr>
              <w:pStyle w:val="TableContents"/>
              <w:bidi w:val="0"/>
              <w:spacing w:before="0" w:after="0"/>
              <w:ind w:left="0" w:right="0" w:hanging="0"/>
              <w:jc w:val="left"/>
              <w:rPr/>
            </w:pPr>
            <w:r>
              <w:rPr/>
              <w:t>​</w:t>
            </w:r>
          </w:p>
        </w:tc>
        <w:tc>
          <w:tcPr>
            <w:tcW w:w="253"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812" w:type="dxa"/>
            <w:tcBorders>
              <w:bottom w:val="double" w:sz="6" w:space="0" w:color="000000"/>
            </w:tcBorders>
            <w:shd w:fill="CCEEFF" w:val="clear"/>
            <w:tcMar>
              <w:bottom w:w="28" w:type="dxa"/>
            </w:tcMar>
            <w:vAlign w:val="center"/>
          </w:tcPr>
          <w:p>
            <w:pPr>
              <w:pStyle w:val="TableContents"/>
              <w:bidi w:val="0"/>
              <w:spacing w:before="0" w:after="0"/>
              <w:ind w:left="0" w:right="60" w:hanging="0"/>
              <w:jc w:val="right"/>
              <w:rPr>
                <w:rFonts w:ascii="Times New Roman;Times;serif" w:hAnsi="Times New Roman;Times;serif"/>
                <w:b/>
                <w:sz w:val="20"/>
              </w:rPr>
            </w:pPr>
            <w:r>
              <w:rPr>
                <w:rFonts w:ascii="Times New Roman;Times;serif" w:hAnsi="Times New Roman;Times;serif"/>
                <w:b/>
                <w:sz w:val="20"/>
              </w:rPr>
              <w:t>8,172</w:t>
            </w:r>
          </w:p>
        </w:tc>
      </w:tr>
    </w:tbl>
    <w:p>
      <w:pPr>
        <w:pStyle w:val="TextBody"/>
        <w:bidi w:val="0"/>
        <w:spacing w:before="0" w:after="0"/>
        <w:ind w:left="0" w:right="0" w:hanging="0"/>
        <w:jc w:val="left"/>
        <w:rPr/>
      </w:pPr>
      <w:r>
        <w:rPr/>
        <w:t>​</w:t>
      </w:r>
    </w:p>
    <w:p>
      <w:pPr>
        <w:pStyle w:val="TextBody"/>
        <w:bidi w:val="0"/>
        <w:spacing w:before="0" w:after="240"/>
        <w:ind w:left="0" w:right="0" w:hanging="0"/>
        <w:jc w:val="both"/>
        <w:rPr/>
      </w:pPr>
      <w:r>
        <w:rPr/>
        <w:t>​</w:t>
      </w:r>
    </w:p>
    <w:p>
      <w:pPr>
        <w:pStyle w:val="TextBody"/>
        <w:bidi w:val="0"/>
        <w:spacing w:before="240" w:after="240"/>
        <w:ind w:left="0" w:right="0" w:hanging="0"/>
        <w:jc w:val="left"/>
        <w:rPr>
          <w:rFonts w:ascii="Times New Roman;Times;serif" w:hAnsi="Times New Roman;Times;serif"/>
          <w:b/>
          <w:sz w:val="20"/>
        </w:rPr>
      </w:pPr>
      <w:r>
        <w:rPr>
          <w:rFonts w:ascii="Times New Roman;Times;serif" w:hAnsi="Times New Roman;Times;serif"/>
          <w:b/>
          <w:sz w:val="20"/>
        </w:rPr>
        <w:t>Note 8 – Long-term debt:</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During the first three months of 2026, our wholly-owned subsidiary, NLKW Holding, LLC had no borrowings or repayments under its $50 million secured revolving credit facility with Valhi. At March 31, 2026, $.5 million was outstanding and $49.5 million was available for future borrowing under this facility. Outstanding borrowings bear interest at the prime rate plus 1.875% per annum, and the average interest rate as of and for the three months ended March 31, 2026 was 8.6%. We are in compliance with all covenants at March 31, 2026.</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Note 9 – Leases: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In March 2026, CompX entered into an operating lease for its distribution center located in Southern California. Upon commencement, we recognized an operating lease right-of-use asset and a corresponding operating lease liability, which are included in our Condensed Consolidated Balance Sheet. As of March 31, 2026, the remaining lease term of CompX’s operating lease was approximately 7 years and the discount rate associated with such lease was 6.75%.</w:t>
      </w:r>
    </w:p>
    <w:p>
      <w:pPr>
        <w:pStyle w:val="TextBody"/>
        <w:bidi w:val="0"/>
        <w:spacing w:before="0" w:after="240"/>
        <w:ind w:left="0" w:right="0" w:firstLine="360"/>
        <w:jc w:val="both"/>
        <w:rPr/>
      </w:pPr>
      <w:r>
        <w:rPr/>
        <w:t>​</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12</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sz w:val="20"/>
        </w:rPr>
      </w:pPr>
      <w:bookmarkStart w:id="704" w:name="Tc_tpNuXgZ8KUuuso-VeogYGQ_7_5"/>
      <w:bookmarkStart w:id="705" w:name="Tc_-jgqhJ3k20SxMsj9KiQo5w_7_2"/>
      <w:bookmarkStart w:id="706" w:name="Tc_xn5rmxrxeEOkDqkqchhw-Q_7_0"/>
      <w:bookmarkStart w:id="707" w:name="Tc_A9mhQjCxCEi8mOgJnreZnA_6_0"/>
      <w:bookmarkStart w:id="708" w:name="Tc_RI6DuIzXykG2dxqWlm_ilg_5_0"/>
      <w:bookmarkStart w:id="709" w:name="Tc_Xwsfmpm66U-iK3QI9V57ng_4_5"/>
      <w:bookmarkStart w:id="710" w:name="Tc_uS_Pvfv_j0CZzCygHcd_bA_4_2"/>
      <w:bookmarkStart w:id="711" w:name="Tc_sdG_0nxW9Eu2d931CdH6hA_4_0"/>
      <w:bookmarkStart w:id="712" w:name="Tc_aTB6JxqKYEaezUy-AiYG6w_3_2"/>
      <w:bookmarkStart w:id="713" w:name="Tc_fUw6wq-G3UGpJdtKoc0UNg_2_5"/>
      <w:bookmarkStart w:id="714" w:name="Tc_Mc9HbuDjnE-QHnDSdEZxOg_2_2"/>
      <w:bookmarkStart w:id="715" w:name="Tc_P2jacsjTYEyTiNCy2pOxWQ_1_5"/>
      <w:bookmarkStart w:id="716" w:name="Tc_ARoopDZ_zEmdIwLsfhhnJw_1_2"/>
      <w:bookmarkEnd w:id="704"/>
      <w:bookmarkEnd w:id="705"/>
      <w:bookmarkEnd w:id="706"/>
      <w:bookmarkEnd w:id="707"/>
      <w:bookmarkEnd w:id="708"/>
      <w:bookmarkEnd w:id="709"/>
      <w:bookmarkEnd w:id="710"/>
      <w:bookmarkEnd w:id="711"/>
      <w:bookmarkEnd w:id="712"/>
      <w:bookmarkEnd w:id="713"/>
      <w:bookmarkEnd w:id="714"/>
      <w:bookmarkEnd w:id="715"/>
      <w:bookmarkEnd w:id="716"/>
      <w:r>
        <w:rPr>
          <w:rFonts w:ascii="Times New Roman;Times;serif" w:hAnsi="Times New Roman;Times;serif"/>
          <w:b/>
          <w:sz w:val="20"/>
        </w:rPr>
        <w:t>Note 10 – Other noncurrent liabilities:</w:t>
      </w:r>
    </w:p>
    <w:p>
      <w:pPr>
        <w:pStyle w:val="TextBody"/>
        <w:bidi w:val="0"/>
        <w:spacing w:before="0" w:after="0"/>
        <w:ind w:left="0" w:right="0" w:hanging="0"/>
        <w:jc w:val="left"/>
        <w:rPr/>
      </w:pPr>
      <w:r>
        <w:rPr/>
        <w:t>​</w:t>
      </w:r>
    </w:p>
    <w:tbl>
      <w:tblPr>
        <w:tblW w:w="5658" w:type="dxa"/>
        <w:jc w:val="left"/>
        <w:tblInd w:w="0" w:type="dxa"/>
        <w:tblLayout w:type="fixed"/>
        <w:tblCellMar>
          <w:top w:w="0" w:type="dxa"/>
          <w:left w:w="0" w:type="dxa"/>
          <w:bottom w:w="0" w:type="dxa"/>
          <w:right w:w="0" w:type="dxa"/>
        </w:tblCellMar>
      </w:tblPr>
      <w:tblGrid>
        <w:gridCol w:w="2596"/>
        <w:gridCol w:w="346"/>
        <w:gridCol w:w="352"/>
        <w:gridCol w:w="953"/>
        <w:gridCol w:w="346"/>
        <w:gridCol w:w="253"/>
        <w:gridCol w:w="812"/>
      </w:tblGrid>
      <w:tr>
        <w:trPr/>
        <w:tc>
          <w:tcPr>
            <w:tcW w:w="25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7">
                      <wp:simplePos x="0" y="0"/>
                      <wp:positionH relativeFrom="character">
                        <wp:align>left</wp:align>
                      </wp:positionH>
                      <wp:positionV relativeFrom="line">
                        <wp:posOffset>635</wp:posOffset>
                      </wp:positionV>
                      <wp:extent cx="1648460" cy="175260"/>
                      <wp:effectExtent l="0" t="0" r="0" b="0"/>
                      <wp:wrapNone/>
                      <wp:docPr id="116" name="Frame116"/>
                      <a:graphic xmlns:a="http://schemas.openxmlformats.org/drawingml/2006/main">
                        <a:graphicData uri="http://schemas.microsoft.com/office/word/2010/wordprocessingShape">
                          <wps:wsp>
                            <wps:cNvSpPr txBox="1"/>
                            <wps:spPr>
                              <a:xfrm>
                                <a:off x="0" y="0"/>
                                <a:ext cx="1648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8">
                      <wp:simplePos x="0" y="0"/>
                      <wp:positionH relativeFrom="character">
                        <wp:align>left</wp:align>
                      </wp:positionH>
                      <wp:positionV relativeFrom="line">
                        <wp:posOffset>635</wp:posOffset>
                      </wp:positionV>
                      <wp:extent cx="219710" cy="175260"/>
                      <wp:effectExtent l="0" t="0" r="0" b="0"/>
                      <wp:wrapNone/>
                      <wp:docPr id="117" name="Frame117"/>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5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9">
                      <wp:simplePos x="0" y="0"/>
                      <wp:positionH relativeFrom="character">
                        <wp:align>left</wp:align>
                      </wp:positionH>
                      <wp:positionV relativeFrom="line">
                        <wp:posOffset>635</wp:posOffset>
                      </wp:positionV>
                      <wp:extent cx="223520" cy="175260"/>
                      <wp:effectExtent l="0" t="0" r="0" b="0"/>
                      <wp:wrapNone/>
                      <wp:docPr id="118" name="Frame118"/>
                      <a:graphic xmlns:a="http://schemas.openxmlformats.org/drawingml/2006/main">
                        <a:graphicData uri="http://schemas.microsoft.com/office/word/2010/wordprocessingShape">
                          <wps:wsp>
                            <wps:cNvSpPr txBox="1"/>
                            <wps:spPr>
                              <a:xfrm>
                                <a:off x="0" y="0"/>
                                <a:ext cx="22352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5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0">
                      <wp:simplePos x="0" y="0"/>
                      <wp:positionH relativeFrom="character">
                        <wp:align>left</wp:align>
                      </wp:positionH>
                      <wp:positionV relativeFrom="line">
                        <wp:posOffset>635</wp:posOffset>
                      </wp:positionV>
                      <wp:extent cx="605155" cy="175260"/>
                      <wp:effectExtent l="0" t="0" r="0" b="0"/>
                      <wp:wrapNone/>
                      <wp:docPr id="119" name="Frame119"/>
                      <a:graphic xmlns:a="http://schemas.openxmlformats.org/drawingml/2006/main">
                        <a:graphicData uri="http://schemas.microsoft.com/office/word/2010/wordprocessingShape">
                          <wps:wsp>
                            <wps:cNvSpPr txBox="1"/>
                            <wps:spPr>
                              <a:xfrm>
                                <a:off x="0" y="0"/>
                                <a:ext cx="60515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7.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1">
                      <wp:simplePos x="0" y="0"/>
                      <wp:positionH relativeFrom="character">
                        <wp:align>left</wp:align>
                      </wp:positionH>
                      <wp:positionV relativeFrom="line">
                        <wp:posOffset>635</wp:posOffset>
                      </wp:positionV>
                      <wp:extent cx="219710" cy="175260"/>
                      <wp:effectExtent l="0" t="0" r="0" b="0"/>
                      <wp:wrapNone/>
                      <wp:docPr id="120" name="Frame120"/>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5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2">
                      <wp:simplePos x="0" y="0"/>
                      <wp:positionH relativeFrom="character">
                        <wp:align>left</wp:align>
                      </wp:positionH>
                      <wp:positionV relativeFrom="line">
                        <wp:posOffset>635</wp:posOffset>
                      </wp:positionV>
                      <wp:extent cx="160655" cy="175260"/>
                      <wp:effectExtent l="0" t="0" r="0" b="0"/>
                      <wp:wrapNone/>
                      <wp:docPr id="121" name="Frame121"/>
                      <a:graphic xmlns:a="http://schemas.openxmlformats.org/drawingml/2006/main">
                        <a:graphicData uri="http://schemas.microsoft.com/office/word/2010/wordprocessingShape">
                          <wps:wsp>
                            <wps:cNvSpPr txBox="1"/>
                            <wps:spPr>
                              <a:xfrm>
                                <a:off x="0" y="0"/>
                                <a:ext cx="16065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1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3">
                      <wp:simplePos x="0" y="0"/>
                      <wp:positionH relativeFrom="character">
                        <wp:align>left</wp:align>
                      </wp:positionH>
                      <wp:positionV relativeFrom="line">
                        <wp:posOffset>635</wp:posOffset>
                      </wp:positionV>
                      <wp:extent cx="515620" cy="175260"/>
                      <wp:effectExtent l="0" t="0" r="0" b="0"/>
                      <wp:wrapNone/>
                      <wp:docPr id="122" name="Frame122"/>
                      <a:graphic xmlns:a="http://schemas.openxmlformats.org/drawingml/2006/main">
                        <a:graphicData uri="http://schemas.microsoft.com/office/word/2010/wordprocessingShape">
                          <wps:wsp>
                            <wps:cNvSpPr txBox="1"/>
                            <wps:spPr>
                              <a:xfrm>
                                <a:off x="0" y="0"/>
                                <a:ext cx="51562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0.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59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1305" w:type="dxa"/>
            <w:gridSpan w:val="2"/>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December 31, </w:t>
            </w:r>
          </w:p>
        </w:tc>
        <w:tc>
          <w:tcPr>
            <w:tcW w:w="346" w:type="dxa"/>
            <w:tcBorders/>
            <w:vAlign w:val="center"/>
          </w:tcPr>
          <w:p>
            <w:pPr>
              <w:pStyle w:val="TableContents"/>
              <w:bidi w:val="0"/>
              <w:spacing w:before="0" w:after="0"/>
              <w:ind w:left="0" w:right="0" w:hanging="0"/>
              <w:jc w:val="left"/>
              <w:rPr/>
            </w:pPr>
            <w:r>
              <w:rPr/>
              <w:t>​</w:t>
            </w:r>
          </w:p>
        </w:tc>
        <w:tc>
          <w:tcPr>
            <w:tcW w:w="1065" w:type="dxa"/>
            <w:gridSpan w:val="2"/>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March 31, </w:t>
            </w:r>
          </w:p>
        </w:tc>
      </w:tr>
      <w:tr>
        <w:trPr/>
        <w:tc>
          <w:tcPr>
            <w:tcW w:w="259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  ​ ​ ​</w:t>
            </w:r>
          </w:p>
        </w:tc>
        <w:tc>
          <w:tcPr>
            <w:tcW w:w="130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2025</w:t>
            </w:r>
          </w:p>
        </w:tc>
        <w:tc>
          <w:tcPr>
            <w:tcW w:w="346" w:type="dxa"/>
            <w:tcBorders/>
            <w:vAlign w:val="center"/>
          </w:tcPr>
          <w:p>
            <w:pPr>
              <w:pStyle w:val="TableContents"/>
              <w:bidi w:val="0"/>
              <w:spacing w:before="0" w:after="0"/>
              <w:ind w:left="0" w:right="0" w:hanging="0"/>
              <w:jc w:val="center"/>
              <w:rPr/>
            </w:pPr>
            <w:r>
              <w:rPr/>
              <w:t>  ​ ​ ​</w:t>
            </w:r>
          </w:p>
        </w:tc>
        <w:tc>
          <w:tcPr>
            <w:tcW w:w="106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2026</w:t>
            </w:r>
          </w:p>
        </w:tc>
      </w:tr>
      <w:tr>
        <w:trPr/>
        <w:tc>
          <w:tcPr>
            <w:tcW w:w="5658" w:type="dxa"/>
            <w:gridSpan w:val="7"/>
            <w:tcBorders/>
            <w:vAlign w:val="center"/>
          </w:tcPr>
          <w:p>
            <w:pPr>
              <w:pStyle w:val="TableContents"/>
              <w:bidi w:val="0"/>
              <w:spacing w:before="0" w:after="283"/>
              <w:ind w:left="0" w:right="0" w:hanging="0"/>
              <w:jc w:val="left"/>
              <w:rPr>
                <w:sz w:val="4"/>
                <w:szCs w:val="4"/>
              </w:rPr>
            </w:pPr>
            <w:r>
              <w:rPr>
                <w:sz w:val="4"/>
                <w:szCs w:val="4"/>
              </w:rPr>
            </w:r>
          </w:p>
        </w:tc>
      </w:tr>
      <w:tr>
        <w:trPr/>
        <w:tc>
          <w:tcPr>
            <w:tcW w:w="259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2716" w:type="dxa"/>
            <w:gridSpan w:val="5"/>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(In thousands)</w:t>
            </w:r>
          </w:p>
        </w:tc>
      </w:tr>
      <w:tr>
        <w:trPr/>
        <w:tc>
          <w:tcPr>
            <w:tcW w:w="259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OPEB</w:t>
            </w:r>
          </w:p>
        </w:tc>
        <w:tc>
          <w:tcPr>
            <w:tcW w:w="346" w:type="dxa"/>
            <w:tcBorders/>
            <w:shd w:fill="CCEEFF" w:val="clear"/>
            <w:vAlign w:val="center"/>
          </w:tcPr>
          <w:p>
            <w:pPr>
              <w:pStyle w:val="TableContents"/>
              <w:bidi w:val="0"/>
              <w:spacing w:before="0" w:after="0"/>
              <w:ind w:left="0" w:right="0" w:hanging="0"/>
              <w:jc w:val="left"/>
              <w:rPr/>
            </w:pPr>
            <w:r>
              <w:rPr/>
              <w:t>​</w:t>
            </w:r>
          </w:p>
        </w:tc>
        <w:tc>
          <w:tcPr>
            <w:tcW w:w="352"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5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312</w:t>
            </w:r>
          </w:p>
        </w:tc>
        <w:tc>
          <w:tcPr>
            <w:tcW w:w="346" w:type="dxa"/>
            <w:tcBorders/>
            <w:shd w:fill="CCEEFF" w:val="clear"/>
            <w:vAlign w:val="center"/>
          </w:tcPr>
          <w:p>
            <w:pPr>
              <w:pStyle w:val="TableContents"/>
              <w:bidi w:val="0"/>
              <w:spacing w:before="0" w:after="0"/>
              <w:ind w:left="0" w:right="0" w:hanging="0"/>
              <w:jc w:val="left"/>
              <w:rPr/>
            </w:pPr>
            <w:r>
              <w:rPr/>
              <w:t>​</w:t>
            </w:r>
          </w:p>
        </w:tc>
        <w:tc>
          <w:tcPr>
            <w:tcW w:w="253"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812"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261</w:t>
            </w:r>
          </w:p>
        </w:tc>
      </w:tr>
      <w:tr>
        <w:trPr/>
        <w:tc>
          <w:tcPr>
            <w:tcW w:w="259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Insurance claims and expenses</w:t>
            </w:r>
          </w:p>
        </w:tc>
        <w:tc>
          <w:tcPr>
            <w:tcW w:w="346" w:type="dxa"/>
            <w:tcBorders/>
            <w:vAlign w:val="center"/>
          </w:tcPr>
          <w:p>
            <w:pPr>
              <w:pStyle w:val="TableContents"/>
              <w:bidi w:val="0"/>
              <w:spacing w:before="0" w:after="0"/>
              <w:ind w:left="0" w:right="0" w:hanging="0"/>
              <w:jc w:val="left"/>
              <w:rPr/>
            </w:pPr>
            <w:r>
              <w:rPr/>
              <w:t>​</w:t>
            </w:r>
          </w:p>
        </w:tc>
        <w:tc>
          <w:tcPr>
            <w:tcW w:w="352" w:type="dxa"/>
            <w:tcBorders/>
            <w:vAlign w:val="center"/>
          </w:tcPr>
          <w:p>
            <w:pPr>
              <w:pStyle w:val="TableContents"/>
              <w:bidi w:val="0"/>
              <w:spacing w:before="0" w:after="0"/>
              <w:ind w:left="0" w:right="0" w:hanging="0"/>
              <w:jc w:val="left"/>
              <w:rPr/>
            </w:pPr>
            <w:r>
              <w:rPr/>
              <w:t>​</w:t>
            </w:r>
          </w:p>
        </w:tc>
        <w:tc>
          <w:tcPr>
            <w:tcW w:w="953"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684</w:t>
            </w:r>
          </w:p>
        </w:tc>
        <w:tc>
          <w:tcPr>
            <w:tcW w:w="346" w:type="dxa"/>
            <w:tcBorders/>
            <w:vAlign w:val="center"/>
          </w:tcPr>
          <w:p>
            <w:pPr>
              <w:pStyle w:val="TableContents"/>
              <w:bidi w:val="0"/>
              <w:spacing w:before="0" w:after="0"/>
              <w:ind w:left="0" w:right="0" w:hanging="0"/>
              <w:jc w:val="left"/>
              <w:rPr/>
            </w:pPr>
            <w:r>
              <w:rPr/>
              <w:t>​</w:t>
            </w:r>
          </w:p>
        </w:tc>
        <w:tc>
          <w:tcPr>
            <w:tcW w:w="253" w:type="dxa"/>
            <w:tcBorders/>
            <w:vAlign w:val="center"/>
          </w:tcPr>
          <w:p>
            <w:pPr>
              <w:pStyle w:val="TableContents"/>
              <w:bidi w:val="0"/>
              <w:spacing w:before="0" w:after="0"/>
              <w:ind w:left="0" w:right="0" w:hanging="0"/>
              <w:jc w:val="left"/>
              <w:rPr/>
            </w:pPr>
            <w:r>
              <w:rPr/>
              <w:t> </w:t>
            </w:r>
          </w:p>
        </w:tc>
        <w:tc>
          <w:tcPr>
            <w:tcW w:w="812" w:type="dxa"/>
            <w:tcBorders/>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746</w:t>
            </w:r>
          </w:p>
        </w:tc>
      </w:tr>
      <w:tr>
        <w:trPr/>
        <w:tc>
          <w:tcPr>
            <w:tcW w:w="259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w:t>
            </w:r>
          </w:p>
        </w:tc>
        <w:tc>
          <w:tcPr>
            <w:tcW w:w="346" w:type="dxa"/>
            <w:tcBorders/>
            <w:shd w:fill="CCEEFF" w:val="clear"/>
            <w:vAlign w:val="center"/>
          </w:tcPr>
          <w:p>
            <w:pPr>
              <w:pStyle w:val="TableContents"/>
              <w:bidi w:val="0"/>
              <w:spacing w:before="0" w:after="0"/>
              <w:ind w:left="0" w:right="0" w:hanging="0"/>
              <w:jc w:val="left"/>
              <w:rPr/>
            </w:pPr>
            <w:r>
              <w:rPr/>
              <w:t>​</w:t>
            </w:r>
          </w:p>
        </w:tc>
        <w:tc>
          <w:tcPr>
            <w:tcW w:w="352"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953"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281</w:t>
            </w:r>
          </w:p>
        </w:tc>
        <w:tc>
          <w:tcPr>
            <w:tcW w:w="346" w:type="dxa"/>
            <w:tcBorders/>
            <w:shd w:fill="CCEEFF" w:val="clear"/>
            <w:vAlign w:val="center"/>
          </w:tcPr>
          <w:p>
            <w:pPr>
              <w:pStyle w:val="TableContents"/>
              <w:bidi w:val="0"/>
              <w:spacing w:before="0" w:after="0"/>
              <w:ind w:left="0" w:right="0" w:hanging="0"/>
              <w:jc w:val="left"/>
              <w:rPr/>
            </w:pPr>
            <w:r>
              <w:rPr/>
              <w:t>​</w:t>
            </w:r>
          </w:p>
        </w:tc>
        <w:tc>
          <w:tcPr>
            <w:tcW w:w="253"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812"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192</w:t>
            </w:r>
          </w:p>
        </w:tc>
      </w:tr>
      <w:tr>
        <w:trPr/>
        <w:tc>
          <w:tcPr>
            <w:tcW w:w="259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w:t>
            </w:r>
          </w:p>
        </w:tc>
        <w:tc>
          <w:tcPr>
            <w:tcW w:w="346" w:type="dxa"/>
            <w:tcBorders/>
            <w:vAlign w:val="center"/>
          </w:tcPr>
          <w:p>
            <w:pPr>
              <w:pStyle w:val="TableContents"/>
              <w:bidi w:val="0"/>
              <w:spacing w:before="0" w:after="0"/>
              <w:ind w:left="0" w:right="0" w:hanging="0"/>
              <w:jc w:val="left"/>
              <w:rPr/>
            </w:pPr>
            <w:r>
              <w:rPr/>
              <w:t>​</w:t>
            </w:r>
          </w:p>
        </w:tc>
        <w:tc>
          <w:tcPr>
            <w:tcW w:w="352"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53"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1,277</w:t>
            </w:r>
          </w:p>
        </w:tc>
        <w:tc>
          <w:tcPr>
            <w:tcW w:w="346" w:type="dxa"/>
            <w:tcBorders/>
            <w:vAlign w:val="center"/>
          </w:tcPr>
          <w:p>
            <w:pPr>
              <w:pStyle w:val="TableContents"/>
              <w:bidi w:val="0"/>
              <w:spacing w:before="0" w:after="0"/>
              <w:ind w:left="0" w:right="0" w:hanging="0"/>
              <w:jc w:val="left"/>
              <w:rPr/>
            </w:pPr>
            <w:r>
              <w:rPr/>
              <w:t>​</w:t>
            </w:r>
          </w:p>
        </w:tc>
        <w:tc>
          <w:tcPr>
            <w:tcW w:w="253"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812" w:type="dxa"/>
            <w:tcBorders>
              <w:bottom w:val="double" w:sz="6" w:space="0" w:color="000000"/>
            </w:tcBorders>
            <w:tcMar>
              <w:bottom w:w="28" w:type="dxa"/>
            </w:tcMar>
            <w:vAlign w:val="center"/>
          </w:tcPr>
          <w:p>
            <w:pPr>
              <w:pStyle w:val="TableContents"/>
              <w:bidi w:val="0"/>
              <w:spacing w:before="0" w:after="0"/>
              <w:ind w:left="0" w:right="60" w:hanging="0"/>
              <w:jc w:val="right"/>
              <w:rPr>
                <w:rFonts w:ascii="Times New Roman;Times;serif" w:hAnsi="Times New Roman;Times;serif"/>
                <w:b/>
                <w:sz w:val="20"/>
              </w:rPr>
            </w:pPr>
            <w:r>
              <w:rPr>
                <w:rFonts w:ascii="Times New Roman;Times;serif" w:hAnsi="Times New Roman;Times;serif"/>
                <w:b/>
                <w:sz w:val="20"/>
              </w:rPr>
              <w:t>1,199</w:t>
            </w:r>
          </w:p>
        </w:tc>
      </w:tr>
    </w:tbl>
    <w:p>
      <w:pPr>
        <w:pStyle w:val="TextBody"/>
        <w:bidi w:val="0"/>
        <w:spacing w:before="0" w:after="0"/>
        <w:ind w:left="0" w:right="0" w:hanging="0"/>
        <w:jc w:val="left"/>
        <w:rPr/>
      </w:pPr>
      <w:r>
        <w:rPr/>
        <w:t>​</w:t>
      </w:r>
    </w:p>
    <w:p>
      <w:pPr>
        <w:pStyle w:val="TextBody"/>
        <w:bidi w:val="0"/>
        <w:spacing w:before="0" w:after="240"/>
        <w:ind w:left="0" w:right="0" w:hanging="0"/>
        <w:jc w:val="both"/>
        <w:rPr/>
      </w:pPr>
      <w:r>
        <w:rPr/>
        <w:t>​</w:t>
      </w:r>
    </w:p>
    <w:p>
      <w:pPr>
        <w:pStyle w:val="TextBody"/>
        <w:bidi w:val="0"/>
        <w:spacing w:before="240" w:after="240"/>
        <w:ind w:left="0" w:right="0" w:hanging="0"/>
        <w:jc w:val="left"/>
        <w:rPr>
          <w:rFonts w:ascii="Times New Roman;Times;serif" w:hAnsi="Times New Roman;Times;serif"/>
          <w:b/>
          <w:sz w:val="20"/>
        </w:rPr>
      </w:pPr>
      <w:bookmarkStart w:id="717" w:name="Tc_9dck9TgHWEONDrExt4F_yw_8_5"/>
      <w:bookmarkStart w:id="718" w:name="Tc_ya6PxEWMk06ZfG3xO3dRsQ_8_2"/>
      <w:bookmarkStart w:id="719" w:name="Tc_Wx2Inj_gykqO93NcTW9JJg_8_0"/>
      <w:bookmarkStart w:id="720" w:name="Tc_j7mSRnra1Uafe08q3SNG6g_7_0"/>
      <w:bookmarkStart w:id="721" w:name="Tc_YNJfFfNBjUSFpvihdBE7OQ_6_5"/>
      <w:bookmarkStart w:id="722" w:name="Tc_htDzcKxfE0iABgYlNhrzxw_6_2"/>
      <w:bookmarkStart w:id="723" w:name="Tc_pnayUiF5fU6dngt5isAFdw_6_0"/>
      <w:bookmarkStart w:id="724" w:name="Tc_X69Aatr6Q0-FHR4DOYcV7Q_5_0"/>
      <w:bookmarkStart w:id="725" w:name="Tc_30YzaFuBu0yrXcuyVm_yeQ_4_2"/>
      <w:bookmarkStart w:id="726" w:name="Tc_ceTjsGBckkO2_u4vUQZI7g_3_5"/>
      <w:bookmarkStart w:id="727" w:name="Tc_03SBDh-awEuFqkvk1BpkIg_3_2"/>
      <w:bookmarkStart w:id="728" w:name="Tc_dDshaqyMWEaYrqDLolpgNw_2_2"/>
      <w:bookmarkStart w:id="729" w:name="Tc_p8L6CDgnwkKeleMENuQDAw_1_2"/>
      <w:bookmarkEnd w:id="717"/>
      <w:bookmarkEnd w:id="718"/>
      <w:bookmarkEnd w:id="719"/>
      <w:bookmarkEnd w:id="720"/>
      <w:bookmarkEnd w:id="721"/>
      <w:bookmarkEnd w:id="722"/>
      <w:bookmarkEnd w:id="723"/>
      <w:bookmarkEnd w:id="724"/>
      <w:bookmarkEnd w:id="725"/>
      <w:bookmarkEnd w:id="726"/>
      <w:bookmarkEnd w:id="727"/>
      <w:bookmarkEnd w:id="728"/>
      <w:bookmarkEnd w:id="729"/>
      <w:r>
        <w:rPr>
          <w:rFonts w:ascii="Times New Roman;Times;serif" w:hAnsi="Times New Roman;Times;serif"/>
          <w:b/>
          <w:sz w:val="20"/>
        </w:rPr>
        <w:t>Note 11 – Revenue recognition:</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The following table disaggregates our net sales by reporting unit, which are the categories that depict how the nature, amount, timing and uncertainty of revenue and cash flows are affected by economic factors.</w:t>
      </w:r>
    </w:p>
    <w:p>
      <w:pPr>
        <w:pStyle w:val="TextBody"/>
        <w:bidi w:val="0"/>
        <w:spacing w:before="0" w:after="0"/>
        <w:ind w:left="0" w:right="0" w:hanging="0"/>
        <w:jc w:val="left"/>
        <w:rPr/>
      </w:pPr>
      <w:r>
        <w:rPr/>
        <w:t>​</w:t>
      </w:r>
    </w:p>
    <w:tbl>
      <w:tblPr>
        <w:tblW w:w="4357" w:type="dxa"/>
        <w:jc w:val="left"/>
        <w:tblInd w:w="0" w:type="dxa"/>
        <w:tblLayout w:type="fixed"/>
        <w:tblCellMar>
          <w:top w:w="0" w:type="dxa"/>
          <w:left w:w="0" w:type="dxa"/>
          <w:bottom w:w="0" w:type="dxa"/>
          <w:right w:w="0" w:type="dxa"/>
        </w:tblCellMar>
      </w:tblPr>
      <w:tblGrid>
        <w:gridCol w:w="1786"/>
        <w:gridCol w:w="346"/>
        <w:gridCol w:w="211"/>
        <w:gridCol w:w="676"/>
        <w:gridCol w:w="346"/>
        <w:gridCol w:w="211"/>
        <w:gridCol w:w="781"/>
      </w:tblGrid>
      <w:tr>
        <w:trPr/>
        <w:tc>
          <w:tcPr>
            <w:tcW w:w="17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4">
                      <wp:simplePos x="0" y="0"/>
                      <wp:positionH relativeFrom="character">
                        <wp:align>left</wp:align>
                      </wp:positionH>
                      <wp:positionV relativeFrom="line">
                        <wp:posOffset>635</wp:posOffset>
                      </wp:positionV>
                      <wp:extent cx="1134110" cy="175260"/>
                      <wp:effectExtent l="0" t="0" r="0" b="0"/>
                      <wp:wrapNone/>
                      <wp:docPr id="123" name="Frame123"/>
                      <a:graphic xmlns:a="http://schemas.openxmlformats.org/drawingml/2006/main">
                        <a:graphicData uri="http://schemas.microsoft.com/office/word/2010/wordprocessingShape">
                          <wps:wsp>
                            <wps:cNvSpPr txBox="1"/>
                            <wps:spPr>
                              <a:xfrm>
                                <a:off x="0" y="0"/>
                                <a:ext cx="11341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89.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5">
                      <wp:simplePos x="0" y="0"/>
                      <wp:positionH relativeFrom="character">
                        <wp:align>left</wp:align>
                      </wp:positionH>
                      <wp:positionV relativeFrom="line">
                        <wp:posOffset>635</wp:posOffset>
                      </wp:positionV>
                      <wp:extent cx="219710" cy="175260"/>
                      <wp:effectExtent l="0" t="0" r="0" b="0"/>
                      <wp:wrapNone/>
                      <wp:docPr id="124" name="Frame124"/>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6">
                      <wp:simplePos x="0" y="0"/>
                      <wp:positionH relativeFrom="character">
                        <wp:align>left</wp:align>
                      </wp:positionH>
                      <wp:positionV relativeFrom="line">
                        <wp:posOffset>635</wp:posOffset>
                      </wp:positionV>
                      <wp:extent cx="133985" cy="175260"/>
                      <wp:effectExtent l="0" t="0" r="0" b="0"/>
                      <wp:wrapNone/>
                      <wp:docPr id="125" name="Frame125"/>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7">
                      <wp:simplePos x="0" y="0"/>
                      <wp:positionH relativeFrom="character">
                        <wp:align>left</wp:align>
                      </wp:positionH>
                      <wp:positionV relativeFrom="line">
                        <wp:posOffset>635</wp:posOffset>
                      </wp:positionV>
                      <wp:extent cx="429260" cy="175260"/>
                      <wp:effectExtent l="0" t="0" r="0" b="0"/>
                      <wp:wrapNone/>
                      <wp:docPr id="126" name="Frame126"/>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8">
                      <wp:simplePos x="0" y="0"/>
                      <wp:positionH relativeFrom="character">
                        <wp:align>left</wp:align>
                      </wp:positionH>
                      <wp:positionV relativeFrom="line">
                        <wp:posOffset>635</wp:posOffset>
                      </wp:positionV>
                      <wp:extent cx="219710" cy="175260"/>
                      <wp:effectExtent l="0" t="0" r="0" b="0"/>
                      <wp:wrapNone/>
                      <wp:docPr id="127" name="Frame127"/>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9">
                      <wp:simplePos x="0" y="0"/>
                      <wp:positionH relativeFrom="character">
                        <wp:align>left</wp:align>
                      </wp:positionH>
                      <wp:positionV relativeFrom="line">
                        <wp:posOffset>635</wp:posOffset>
                      </wp:positionV>
                      <wp:extent cx="133985" cy="175260"/>
                      <wp:effectExtent l="0" t="0" r="0" b="0"/>
                      <wp:wrapNone/>
                      <wp:docPr id="128" name="Frame128"/>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0">
                      <wp:simplePos x="0" y="0"/>
                      <wp:positionH relativeFrom="character">
                        <wp:align>left</wp:align>
                      </wp:positionH>
                      <wp:positionV relativeFrom="line">
                        <wp:posOffset>635</wp:posOffset>
                      </wp:positionV>
                      <wp:extent cx="495935" cy="175260"/>
                      <wp:effectExtent l="0" t="0" r="0" b="0"/>
                      <wp:wrapNone/>
                      <wp:docPr id="129" name="Frame129"/>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178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2225" w:type="dxa"/>
            <w:gridSpan w:val="5"/>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 xml:space="preserve">Three months ended </w:t>
            </w:r>
          </w:p>
        </w:tc>
      </w:tr>
      <w:tr>
        <w:trPr/>
        <w:tc>
          <w:tcPr>
            <w:tcW w:w="178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2225"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March 31, </w:t>
            </w:r>
          </w:p>
        </w:tc>
      </w:tr>
      <w:tr>
        <w:trPr/>
        <w:tc>
          <w:tcPr>
            <w:tcW w:w="178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  ​ ​ ​</w:t>
            </w:r>
          </w:p>
        </w:tc>
        <w:tc>
          <w:tcPr>
            <w:tcW w:w="88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2025</w:t>
            </w:r>
          </w:p>
        </w:tc>
        <w:tc>
          <w:tcPr>
            <w:tcW w:w="346" w:type="dxa"/>
            <w:tcBorders/>
            <w:vAlign w:val="center"/>
          </w:tcPr>
          <w:p>
            <w:pPr>
              <w:pStyle w:val="TableContents"/>
              <w:bidi w:val="0"/>
              <w:spacing w:before="0" w:after="0"/>
              <w:ind w:left="0" w:right="0" w:hanging="0"/>
              <w:jc w:val="left"/>
              <w:rPr/>
            </w:pPr>
            <w:r>
              <w:rPr/>
              <w:t>  ​ ​ ​</w:t>
            </w:r>
          </w:p>
        </w:tc>
        <w:tc>
          <w:tcPr>
            <w:tcW w:w="99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2026</w:t>
            </w:r>
          </w:p>
        </w:tc>
      </w:tr>
      <w:tr>
        <w:trPr/>
        <w:tc>
          <w:tcPr>
            <w:tcW w:w="4357" w:type="dxa"/>
            <w:gridSpan w:val="7"/>
            <w:tcBorders/>
            <w:vAlign w:val="center"/>
          </w:tcPr>
          <w:p>
            <w:pPr>
              <w:pStyle w:val="TableContents"/>
              <w:bidi w:val="0"/>
              <w:spacing w:before="0" w:after="283"/>
              <w:ind w:left="0" w:right="0" w:hanging="0"/>
              <w:jc w:val="left"/>
              <w:rPr>
                <w:sz w:val="4"/>
                <w:szCs w:val="4"/>
              </w:rPr>
            </w:pPr>
            <w:r>
              <w:rPr>
                <w:sz w:val="4"/>
                <w:szCs w:val="4"/>
              </w:rPr>
            </w:r>
          </w:p>
        </w:tc>
      </w:tr>
      <w:tr>
        <w:trPr/>
        <w:tc>
          <w:tcPr>
            <w:tcW w:w="178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2225" w:type="dxa"/>
            <w:gridSpan w:val="5"/>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(In thousands)</w:t>
            </w:r>
          </w:p>
        </w:tc>
      </w:tr>
      <w:tr>
        <w:trPr/>
        <w:tc>
          <w:tcPr>
            <w:tcW w:w="178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sales: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67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right"/>
              <w:rPr/>
            </w:pPr>
            <w:r>
              <w:rPr/>
              <w:t>​</w:t>
            </w:r>
          </w:p>
        </w:tc>
      </w:tr>
      <w:tr>
        <w:trPr/>
        <w:tc>
          <w:tcPr>
            <w:tcW w:w="178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Security Products</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30,230</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781" w:type="dxa"/>
            <w:tcBorders/>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29,896</w:t>
            </w:r>
          </w:p>
        </w:tc>
      </w:tr>
      <w:tr>
        <w:trPr/>
        <w:tc>
          <w:tcPr>
            <w:tcW w:w="178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Marine Components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67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10,042</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8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10,673</w:t>
            </w:r>
          </w:p>
        </w:tc>
      </w:tr>
      <w:tr>
        <w:trPr/>
        <w:tc>
          <w:tcPr>
            <w:tcW w:w="178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40,272</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781" w:type="dxa"/>
            <w:tcBorders>
              <w:bottom w:val="double" w:sz="6" w:space="0" w:color="000000"/>
            </w:tcBorders>
            <w:tcMar>
              <w:bottom w:w="28" w:type="dxa"/>
            </w:tcMar>
            <w:vAlign w:val="center"/>
          </w:tcPr>
          <w:p>
            <w:pPr>
              <w:pStyle w:val="TableContents"/>
              <w:bidi w:val="0"/>
              <w:spacing w:before="0" w:after="0"/>
              <w:ind w:left="0" w:right="60" w:hanging="0"/>
              <w:jc w:val="right"/>
              <w:rPr>
                <w:rFonts w:ascii="Times New Roman;Times;serif" w:hAnsi="Times New Roman;Times;serif"/>
                <w:b/>
                <w:sz w:val="20"/>
              </w:rPr>
            </w:pPr>
            <w:r>
              <w:rPr>
                <w:rFonts w:ascii="Times New Roman;Times;serif" w:hAnsi="Times New Roman;Times;serif"/>
                <w:b/>
                <w:sz w:val="20"/>
              </w:rPr>
              <w:t>40,569</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b/>
          <w:sz w:val="20"/>
        </w:rPr>
      </w:pPr>
      <w:bookmarkStart w:id="730" w:name="Tc_lEVgaBfiwkiva6fF7f2O0Q_16_5"/>
      <w:bookmarkStart w:id="731" w:name="Tc_ZyFBIQa14UqK7XXWllRqrA_16_2"/>
      <w:bookmarkStart w:id="732" w:name="Tc_UbNP2AIAuUi2ndS5xhS7bA_16_0"/>
      <w:bookmarkStart w:id="733" w:name="Tc_0yv5QNhjh0CPccSuMZvUSg_15_6"/>
      <w:bookmarkStart w:id="734" w:name="Tc_7sMVLs0ZKEqT6esug5TDkg_15_0"/>
      <w:bookmarkStart w:id="735" w:name="Tc_T3O0xZHxxkKreXfCbO1pgQ_14_0"/>
      <w:bookmarkStart w:id="736" w:name="Tc_ZWCgiubExEy7pgZGIYom5w_13_0"/>
      <w:bookmarkStart w:id="737" w:name="Tc_axaLbvNqHECPOTYtGhcFRw_12_0"/>
      <w:bookmarkStart w:id="738" w:name="Tc_PwuSPyPN_kOnPvMBp5Ff_A_11_5"/>
      <w:bookmarkStart w:id="739" w:name="Tc_9IS1GZCFzEKukN9g4UFnBg_11_2"/>
      <w:bookmarkStart w:id="740" w:name="Tc_qCbRw1FTnEWh2WwBJnljhA_11_0"/>
      <w:bookmarkStart w:id="741" w:name="Tc_8Amf60cyjUGAunCN4XgrNQ_10_0"/>
      <w:bookmarkStart w:id="742" w:name="Tc_1azNsZgnEkqymlZvx_VikQ_8_5"/>
      <w:bookmarkStart w:id="743" w:name="Tc_7s2oNriI4EWe1ut_MmcxZg_8_2"/>
      <w:bookmarkStart w:id="744" w:name="Tc_32qhjU_wH0WABEXONkW4pw_8_0"/>
      <w:bookmarkStart w:id="745" w:name="Tc_TAZA_1P1VUioSDvXuCL38g_7_0"/>
      <w:bookmarkStart w:id="746" w:name="Tc_JzIndlAzr02Uh3FLynWUPg_6_0"/>
      <w:bookmarkStart w:id="747" w:name="Tc_3Cn-0feiyEuDy2ODoXrG_w_5_5"/>
      <w:bookmarkStart w:id="748" w:name="Tc_rO56JM5cg02AQX96fAtbrQ_5_2"/>
      <w:bookmarkStart w:id="749" w:name="Tc_ysLiTKyE20aQtraX3NaKbg_5_0"/>
      <w:bookmarkStart w:id="750" w:name="Tc_MldMg6GRukWPOVPtTkfkBw_4_2"/>
      <w:bookmarkStart w:id="751" w:name="Tc_a8PIiNR82UmgKu9ynFY8UA_3_5"/>
      <w:bookmarkStart w:id="752" w:name="Tc_sC3VbXeZ8UCovkYgY-aN3A_3_2"/>
      <w:bookmarkStart w:id="753" w:name="Tc_WXDLa7u6ZEmO53Ym3gkGFA_2_2"/>
      <w:bookmarkStart w:id="754" w:name="Tc_iP_OiXOG30uZAmyjY1qYeQ_1_2"/>
      <w:bookmarkEnd w:id="730"/>
      <w:bookmarkEnd w:id="731"/>
      <w:bookmarkEnd w:id="732"/>
      <w:bookmarkEnd w:id="733"/>
      <w:bookmarkEnd w:id="734"/>
      <w:bookmarkEnd w:id="735"/>
      <w:bookmarkEnd w:id="736"/>
      <w:bookmarkEnd w:id="737"/>
      <w:bookmarkEnd w:id="738"/>
      <w:bookmarkEnd w:id="739"/>
      <w:bookmarkEnd w:id="740"/>
      <w:bookmarkEnd w:id="741"/>
      <w:bookmarkEnd w:id="742"/>
      <w:bookmarkEnd w:id="743"/>
      <w:bookmarkEnd w:id="744"/>
      <w:bookmarkEnd w:id="745"/>
      <w:bookmarkEnd w:id="746"/>
      <w:bookmarkEnd w:id="747"/>
      <w:bookmarkEnd w:id="748"/>
      <w:bookmarkEnd w:id="749"/>
      <w:bookmarkEnd w:id="750"/>
      <w:bookmarkEnd w:id="751"/>
      <w:bookmarkEnd w:id="752"/>
      <w:bookmarkEnd w:id="753"/>
      <w:bookmarkEnd w:id="754"/>
      <w:r>
        <w:rPr>
          <w:rFonts w:ascii="Times New Roman;Times;serif" w:hAnsi="Times New Roman;Times;serif"/>
          <w:b/>
          <w:sz w:val="20"/>
        </w:rPr>
        <w:t>Note 12 – Income taxes:</w:t>
      </w:r>
    </w:p>
    <w:p>
      <w:pPr>
        <w:pStyle w:val="TextBody"/>
        <w:bidi w:val="0"/>
        <w:spacing w:before="0" w:after="0"/>
        <w:ind w:left="0" w:right="0" w:hanging="0"/>
        <w:jc w:val="left"/>
        <w:rPr/>
      </w:pPr>
      <w:r>
        <w:rPr/>
        <w:t>​</w:t>
      </w:r>
    </w:p>
    <w:tbl>
      <w:tblPr>
        <w:tblW w:w="8452" w:type="dxa"/>
        <w:jc w:val="left"/>
        <w:tblInd w:w="0" w:type="dxa"/>
        <w:tblLayout w:type="fixed"/>
        <w:tblCellMar>
          <w:top w:w="0" w:type="dxa"/>
          <w:left w:w="0" w:type="dxa"/>
          <w:bottom w:w="0" w:type="dxa"/>
          <w:right w:w="0" w:type="dxa"/>
        </w:tblCellMar>
      </w:tblPr>
      <w:tblGrid>
        <w:gridCol w:w="6091"/>
        <w:gridCol w:w="346"/>
        <w:gridCol w:w="211"/>
        <w:gridCol w:w="571"/>
        <w:gridCol w:w="346"/>
        <w:gridCol w:w="211"/>
        <w:gridCol w:w="676"/>
      </w:tblGrid>
      <w:tr>
        <w:trPr/>
        <w:tc>
          <w:tcPr>
            <w:tcW w:w="60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1">
                      <wp:simplePos x="0" y="0"/>
                      <wp:positionH relativeFrom="character">
                        <wp:align>left</wp:align>
                      </wp:positionH>
                      <wp:positionV relativeFrom="line">
                        <wp:posOffset>635</wp:posOffset>
                      </wp:positionV>
                      <wp:extent cx="3867785" cy="175260"/>
                      <wp:effectExtent l="0" t="0" r="0" b="0"/>
                      <wp:wrapNone/>
                      <wp:docPr id="130" name="Frame130"/>
                      <a:graphic xmlns:a="http://schemas.openxmlformats.org/drawingml/2006/main">
                        <a:graphicData uri="http://schemas.microsoft.com/office/word/2010/wordprocessingShape">
                          <wps:wsp>
                            <wps:cNvSpPr txBox="1"/>
                            <wps:spPr>
                              <a:xfrm>
                                <a:off x="0" y="0"/>
                                <a:ext cx="38677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0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2">
                      <wp:simplePos x="0" y="0"/>
                      <wp:positionH relativeFrom="character">
                        <wp:align>left</wp:align>
                      </wp:positionH>
                      <wp:positionV relativeFrom="line">
                        <wp:posOffset>635</wp:posOffset>
                      </wp:positionV>
                      <wp:extent cx="219710" cy="175260"/>
                      <wp:effectExtent l="0" t="0" r="0" b="0"/>
                      <wp:wrapNone/>
                      <wp:docPr id="131" name="Frame131"/>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3">
                      <wp:simplePos x="0" y="0"/>
                      <wp:positionH relativeFrom="character">
                        <wp:align>left</wp:align>
                      </wp:positionH>
                      <wp:positionV relativeFrom="line">
                        <wp:posOffset>635</wp:posOffset>
                      </wp:positionV>
                      <wp:extent cx="133985" cy="175260"/>
                      <wp:effectExtent l="0" t="0" r="0" b="0"/>
                      <wp:wrapNone/>
                      <wp:docPr id="132" name="Frame132"/>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5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4">
                      <wp:simplePos x="0" y="0"/>
                      <wp:positionH relativeFrom="character">
                        <wp:align>left</wp:align>
                      </wp:positionH>
                      <wp:positionV relativeFrom="line">
                        <wp:posOffset>635</wp:posOffset>
                      </wp:positionV>
                      <wp:extent cx="362585" cy="175260"/>
                      <wp:effectExtent l="0" t="0" r="0" b="0"/>
                      <wp:wrapNone/>
                      <wp:docPr id="133" name="Frame133"/>
                      <a:graphic xmlns:a="http://schemas.openxmlformats.org/drawingml/2006/main">
                        <a:graphicData uri="http://schemas.microsoft.com/office/word/2010/wordprocessingShape">
                          <wps:wsp>
                            <wps:cNvSpPr txBox="1"/>
                            <wps:spPr>
                              <a:xfrm>
                                <a:off x="0" y="0"/>
                                <a:ext cx="3625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5">
                      <wp:simplePos x="0" y="0"/>
                      <wp:positionH relativeFrom="character">
                        <wp:align>left</wp:align>
                      </wp:positionH>
                      <wp:positionV relativeFrom="line">
                        <wp:posOffset>635</wp:posOffset>
                      </wp:positionV>
                      <wp:extent cx="219710" cy="175260"/>
                      <wp:effectExtent l="0" t="0" r="0" b="0"/>
                      <wp:wrapNone/>
                      <wp:docPr id="134" name="Frame134"/>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6">
                      <wp:simplePos x="0" y="0"/>
                      <wp:positionH relativeFrom="character">
                        <wp:align>left</wp:align>
                      </wp:positionH>
                      <wp:positionV relativeFrom="line">
                        <wp:posOffset>635</wp:posOffset>
                      </wp:positionV>
                      <wp:extent cx="133985" cy="175260"/>
                      <wp:effectExtent l="0" t="0" r="0" b="0"/>
                      <wp:wrapNone/>
                      <wp:docPr id="135" name="Frame135"/>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7">
                      <wp:simplePos x="0" y="0"/>
                      <wp:positionH relativeFrom="character">
                        <wp:align>left</wp:align>
                      </wp:positionH>
                      <wp:positionV relativeFrom="line">
                        <wp:posOffset>635</wp:posOffset>
                      </wp:positionV>
                      <wp:extent cx="429260" cy="175260"/>
                      <wp:effectExtent l="0" t="0" r="0" b="0"/>
                      <wp:wrapNone/>
                      <wp:docPr id="136" name="Frame136"/>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609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w:t>
            </w:r>
          </w:p>
        </w:tc>
        <w:tc>
          <w:tcPr>
            <w:tcW w:w="2015" w:type="dxa"/>
            <w:gridSpan w:val="5"/>
            <w:tcBorders/>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 xml:space="preserve">Three months ended </w:t>
            </w:r>
          </w:p>
        </w:tc>
      </w:tr>
      <w:tr>
        <w:trPr/>
        <w:tc>
          <w:tcPr>
            <w:tcW w:w="609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w:t>
            </w:r>
          </w:p>
        </w:tc>
        <w:tc>
          <w:tcPr>
            <w:tcW w:w="2015"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March 31, </w:t>
            </w:r>
          </w:p>
        </w:tc>
      </w:tr>
      <w:tr>
        <w:trPr/>
        <w:tc>
          <w:tcPr>
            <w:tcW w:w="609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  ​ ​ ​</w:t>
            </w:r>
          </w:p>
        </w:tc>
        <w:tc>
          <w:tcPr>
            <w:tcW w:w="78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2025</w:t>
            </w:r>
          </w:p>
        </w:tc>
        <w:tc>
          <w:tcPr>
            <w:tcW w:w="346" w:type="dxa"/>
            <w:tcBorders/>
            <w:vAlign w:val="center"/>
          </w:tcPr>
          <w:p>
            <w:pPr>
              <w:pStyle w:val="TableContents"/>
              <w:bidi w:val="0"/>
              <w:spacing w:before="0" w:after="1"/>
              <w:ind w:left="0" w:right="0" w:hanging="0"/>
              <w:jc w:val="left"/>
              <w:rPr/>
            </w:pPr>
            <w:r>
              <w:rPr/>
              <w:t>  ​ ​ ​</w:t>
            </w:r>
          </w:p>
        </w:tc>
        <w:tc>
          <w:tcPr>
            <w:tcW w:w="88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2026</w:t>
            </w:r>
          </w:p>
        </w:tc>
      </w:tr>
      <w:tr>
        <w:trPr/>
        <w:tc>
          <w:tcPr>
            <w:tcW w:w="8452" w:type="dxa"/>
            <w:gridSpan w:val="7"/>
            <w:tcBorders/>
            <w:vAlign w:val="center"/>
          </w:tcPr>
          <w:p>
            <w:pPr>
              <w:pStyle w:val="TableContents"/>
              <w:bidi w:val="0"/>
              <w:spacing w:before="0" w:after="283"/>
              <w:ind w:left="0" w:right="0" w:hanging="0"/>
              <w:jc w:val="left"/>
              <w:rPr>
                <w:sz w:val="4"/>
                <w:szCs w:val="4"/>
              </w:rPr>
            </w:pPr>
            <w:r>
              <w:rPr>
                <w:sz w:val="4"/>
                <w:szCs w:val="4"/>
              </w:rPr>
            </w:r>
          </w:p>
        </w:tc>
      </w:tr>
      <w:tr>
        <w:trPr/>
        <w:tc>
          <w:tcPr>
            <w:tcW w:w="609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w:t>
            </w:r>
          </w:p>
        </w:tc>
        <w:tc>
          <w:tcPr>
            <w:tcW w:w="2015" w:type="dxa"/>
            <w:gridSpan w:val="5"/>
            <w:tcBorders/>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(In thousands)</w:t>
            </w:r>
          </w:p>
        </w:tc>
      </w:tr>
      <w:tr>
        <w:trPr/>
        <w:tc>
          <w:tcPr>
            <w:tcW w:w="609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Expected tax expense, at U.S. federal statutory income tax rate of 21%</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w:t>
            </w:r>
          </w:p>
        </w:tc>
        <w:tc>
          <w:tcPr>
            <w:tcW w:w="57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273</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w:t>
            </w:r>
          </w:p>
        </w:tc>
        <w:tc>
          <w:tcPr>
            <w:tcW w:w="676" w:type="dxa"/>
            <w:tcBorders/>
            <w:shd w:fill="CCEEFF" w:val="cle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1,379</w:t>
            </w:r>
          </w:p>
        </w:tc>
      </w:tr>
      <w:tr>
        <w:trPr/>
        <w:tc>
          <w:tcPr>
            <w:tcW w:w="609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Rate differences on equity in earnings (losses) of Kronos, net of dividends</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center"/>
              <w:rPr/>
            </w:pPr>
            <w:r>
              <w:rPr/>
              <w:t> </w:t>
            </w:r>
          </w:p>
        </w:tc>
        <w:tc>
          <w:tcPr>
            <w:tcW w:w="57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(319)</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center"/>
              <w:rPr/>
            </w:pPr>
            <w:r>
              <w:rPr/>
              <w:t> </w:t>
            </w:r>
          </w:p>
        </w:tc>
        <w:tc>
          <w:tcPr>
            <w:tcW w:w="676" w:type="dxa"/>
            <w:tcBorders/>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(25)</w:t>
            </w:r>
          </w:p>
        </w:tc>
      </w:tr>
      <w:tr>
        <w:trPr/>
        <w:tc>
          <w:tcPr>
            <w:tcW w:w="609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U.S. state income taxes and other, net</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center"/>
              <w:rPr/>
            </w:pPr>
            <w:r>
              <w:rPr/>
              <w:t> </w:t>
            </w:r>
          </w:p>
        </w:tc>
        <w:tc>
          <w:tcPr>
            <w:tcW w:w="57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23</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center"/>
              <w:rPr/>
            </w:pPr>
            <w:r>
              <w:rPr/>
              <w:t> </w:t>
            </w:r>
          </w:p>
        </w:tc>
        <w:tc>
          <w:tcPr>
            <w:tcW w:w="67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118</w:t>
            </w:r>
          </w:p>
        </w:tc>
      </w:tr>
      <w:tr>
        <w:trPr/>
        <w:tc>
          <w:tcPr>
            <w:tcW w:w="609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Income tax expense (benefit)</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w:t>
            </w:r>
          </w:p>
        </w:tc>
        <w:tc>
          <w:tcPr>
            <w:tcW w:w="571"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(23)</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w:t>
            </w:r>
          </w:p>
        </w:tc>
        <w:tc>
          <w:tcPr>
            <w:tcW w:w="676"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1,472</w:t>
            </w:r>
          </w:p>
        </w:tc>
      </w:tr>
      <w:tr>
        <w:trPr/>
        <w:tc>
          <w:tcPr>
            <w:tcW w:w="6091"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center"/>
              <w:rPr/>
            </w:pPr>
            <w:r>
              <w:rPr/>
              <w:t>​</w:t>
            </w:r>
          </w:p>
        </w:tc>
        <w:tc>
          <w:tcPr>
            <w:tcW w:w="571"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center"/>
              <w:rPr/>
            </w:pPr>
            <w:r>
              <w:rPr/>
              <w:t>​</w:t>
            </w:r>
          </w:p>
        </w:tc>
        <w:tc>
          <w:tcPr>
            <w:tcW w:w="676" w:type="dxa"/>
            <w:tcBorders/>
            <w:shd w:fill="CCEEFF" w:val="clear"/>
            <w:vAlign w:val="center"/>
          </w:tcPr>
          <w:p>
            <w:pPr>
              <w:pStyle w:val="TableContents"/>
              <w:bidi w:val="0"/>
              <w:spacing w:before="0" w:after="1"/>
              <w:ind w:left="0" w:right="0" w:hanging="0"/>
              <w:jc w:val="right"/>
              <w:rPr/>
            </w:pPr>
            <w:r>
              <w:rPr/>
              <w:t>​</w:t>
            </w:r>
          </w:p>
        </w:tc>
      </w:tr>
      <w:tr>
        <w:trPr/>
        <w:tc>
          <w:tcPr>
            <w:tcW w:w="609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Comprehensive provision for income taxes allocable to:</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center"/>
              <w:rPr/>
            </w:pPr>
            <w:r>
              <w:rPr/>
              <w:t> </w:t>
            </w:r>
          </w:p>
        </w:tc>
        <w:tc>
          <w:tcPr>
            <w:tcW w:w="571" w:type="dxa"/>
            <w:tcBorders/>
            <w:vAlign w:val="center"/>
          </w:tcPr>
          <w:p>
            <w:pPr>
              <w:pStyle w:val="TableContents"/>
              <w:bidi w:val="0"/>
              <w:spacing w:before="0" w:after="1"/>
              <w:ind w:left="0" w:right="0" w:hanging="0"/>
              <w:jc w:val="right"/>
              <w:rPr/>
            </w:pPr>
            <w:r>
              <w:rPr/>
              <w:t>  ​</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center"/>
              <w:rPr/>
            </w:pPr>
            <w:r>
              <w:rPr/>
              <w:t> </w:t>
            </w:r>
          </w:p>
        </w:tc>
        <w:tc>
          <w:tcPr>
            <w:tcW w:w="676" w:type="dxa"/>
            <w:tcBorders/>
            <w:vAlign w:val="center"/>
          </w:tcPr>
          <w:p>
            <w:pPr>
              <w:pStyle w:val="TableContents"/>
              <w:bidi w:val="0"/>
              <w:spacing w:before="0" w:after="1"/>
              <w:ind w:left="0" w:right="0" w:hanging="0"/>
              <w:jc w:val="right"/>
              <w:rPr/>
            </w:pPr>
            <w:r>
              <w:rPr/>
              <w:t>  ​</w:t>
            </w:r>
          </w:p>
        </w:tc>
      </w:tr>
      <w:tr>
        <w:trPr/>
        <w:tc>
          <w:tcPr>
            <w:tcW w:w="609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Net income</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w:t>
            </w:r>
          </w:p>
        </w:tc>
        <w:tc>
          <w:tcPr>
            <w:tcW w:w="57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(23)</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w:t>
            </w:r>
          </w:p>
        </w:tc>
        <w:tc>
          <w:tcPr>
            <w:tcW w:w="676" w:type="dxa"/>
            <w:tcBorders/>
            <w:shd w:fill="CCEEFF" w:val="cle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1,472</w:t>
            </w:r>
          </w:p>
        </w:tc>
      </w:tr>
      <w:tr>
        <w:trPr/>
        <w:tc>
          <w:tcPr>
            <w:tcW w:w="609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Other comprehensive income (loss):</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center"/>
              <w:rPr/>
            </w:pPr>
            <w:r>
              <w:rPr/>
              <w:t> </w:t>
            </w:r>
          </w:p>
        </w:tc>
        <w:tc>
          <w:tcPr>
            <w:tcW w:w="571" w:type="dxa"/>
            <w:tcBorders/>
            <w:vAlign w:val="center"/>
          </w:tcPr>
          <w:p>
            <w:pPr>
              <w:pStyle w:val="TableContents"/>
              <w:bidi w:val="0"/>
              <w:spacing w:before="0" w:after="1"/>
              <w:ind w:left="0" w:right="0" w:hanging="0"/>
              <w:jc w:val="right"/>
              <w:rPr/>
            </w:pPr>
            <w:r>
              <w:rPr/>
              <w:t>  ​</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center"/>
              <w:rPr/>
            </w:pPr>
            <w:r>
              <w:rPr/>
              <w:t> </w:t>
            </w:r>
          </w:p>
        </w:tc>
        <w:tc>
          <w:tcPr>
            <w:tcW w:w="676" w:type="dxa"/>
            <w:tcBorders/>
            <w:vAlign w:val="center"/>
          </w:tcPr>
          <w:p>
            <w:pPr>
              <w:pStyle w:val="TableContents"/>
              <w:bidi w:val="0"/>
              <w:spacing w:before="0" w:after="1"/>
              <w:ind w:left="0" w:right="0" w:hanging="0"/>
              <w:jc w:val="right"/>
              <w:rPr/>
            </w:pPr>
            <w:r>
              <w:rPr/>
              <w:t>  ​</w:t>
            </w:r>
          </w:p>
        </w:tc>
      </w:tr>
      <w:tr>
        <w:trPr/>
        <w:tc>
          <w:tcPr>
            <w:tcW w:w="609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Currency translation</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center"/>
              <w:rPr/>
            </w:pPr>
            <w:r>
              <w:rPr/>
              <w:t> </w:t>
            </w:r>
          </w:p>
        </w:tc>
        <w:tc>
          <w:tcPr>
            <w:tcW w:w="57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1,112</w:t>
            </w:r>
          </w:p>
        </w:tc>
        <w:tc>
          <w:tcPr>
            <w:tcW w:w="346" w:type="dxa"/>
            <w:tcBorders/>
            <w:shd w:fill="CCEEFF" w:val="clear"/>
            <w:vAlign w:val="center"/>
          </w:tcPr>
          <w:p>
            <w:pPr>
              <w:pStyle w:val="TableContents"/>
              <w:bidi w:val="0"/>
              <w:spacing w:before="0" w:after="1"/>
              <w:ind w:left="0" w:right="0" w:hanging="0"/>
              <w:jc w:val="right"/>
              <w:rPr/>
            </w:pPr>
            <w:r>
              <w:rPr/>
              <w:t>​</w:t>
            </w:r>
          </w:p>
        </w:tc>
        <w:tc>
          <w:tcPr>
            <w:tcW w:w="211" w:type="dxa"/>
            <w:tcBorders/>
            <w:shd w:fill="CCEEFF" w:val="clear"/>
            <w:vAlign w:val="center"/>
          </w:tcPr>
          <w:p>
            <w:pPr>
              <w:pStyle w:val="TableContents"/>
              <w:bidi w:val="0"/>
              <w:spacing w:before="0" w:after="1"/>
              <w:ind w:left="0" w:right="0" w:hanging="0"/>
              <w:jc w:val="center"/>
              <w:rPr/>
            </w:pPr>
            <w:r>
              <w:rPr/>
              <w:t> </w:t>
            </w:r>
          </w:p>
        </w:tc>
        <w:tc>
          <w:tcPr>
            <w:tcW w:w="676" w:type="dxa"/>
            <w:tcBorders/>
            <w:shd w:fill="CCEEFF" w:val="cle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270</w:t>
            </w:r>
          </w:p>
        </w:tc>
      </w:tr>
      <w:tr>
        <w:trPr/>
        <w:tc>
          <w:tcPr>
            <w:tcW w:w="609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Defined benefit pension plans</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center"/>
              <w:rPr/>
            </w:pPr>
            <w:r>
              <w:rPr/>
              <w:t> </w:t>
            </w:r>
          </w:p>
        </w:tc>
        <w:tc>
          <w:tcPr>
            <w:tcW w:w="57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85</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center"/>
              <w:rPr/>
            </w:pPr>
            <w:r>
              <w:rPr/>
              <w:t> </w:t>
            </w:r>
          </w:p>
        </w:tc>
        <w:tc>
          <w:tcPr>
            <w:tcW w:w="676" w:type="dxa"/>
            <w:tcBorders/>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23</w:t>
            </w:r>
          </w:p>
        </w:tc>
      </w:tr>
      <w:tr>
        <w:trPr/>
        <w:tc>
          <w:tcPr>
            <w:tcW w:w="609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Other</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center"/>
              <w:rPr/>
            </w:pPr>
            <w:r>
              <w:rPr/>
              <w:t> </w:t>
            </w:r>
          </w:p>
        </w:tc>
        <w:tc>
          <w:tcPr>
            <w:tcW w:w="57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center"/>
              <w:rPr/>
            </w:pPr>
            <w:r>
              <w:rPr/>
              <w:t> </w:t>
            </w:r>
          </w:p>
        </w:tc>
        <w:tc>
          <w:tcPr>
            <w:tcW w:w="67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r>
      <w:tr>
        <w:trPr/>
        <w:tc>
          <w:tcPr>
            <w:tcW w:w="609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Comprehensive income tax expense</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w:t>
            </w:r>
          </w:p>
        </w:tc>
        <w:tc>
          <w:tcPr>
            <w:tcW w:w="571"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1,165</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w:t>
            </w:r>
          </w:p>
        </w:tc>
        <w:tc>
          <w:tcPr>
            <w:tcW w:w="676" w:type="dxa"/>
            <w:tcBorders>
              <w:bottom w:val="double" w:sz="6" w:space="0" w:color="000000"/>
            </w:tcBorders>
            <w:tcMar>
              <w:bottom w:w="28" w:type="dxa"/>
            </w:tcMar>
            <w:vAlign w:val="center"/>
          </w:tcPr>
          <w:p>
            <w:pPr>
              <w:pStyle w:val="TableContents"/>
              <w:bidi w:val="0"/>
              <w:spacing w:before="0" w:after="1"/>
              <w:ind w:left="0" w:right="60" w:hanging="0"/>
              <w:jc w:val="right"/>
              <w:rPr>
                <w:rFonts w:ascii="Times New Roman;Times;serif" w:hAnsi="Times New Roman;Times;serif"/>
                <w:b/>
                <w:sz w:val="20"/>
              </w:rPr>
            </w:pPr>
            <w:r>
              <w:rPr>
                <w:rFonts w:ascii="Times New Roman;Times;serif" w:hAnsi="Times New Roman;Times;serif"/>
                <w:b/>
                <w:sz w:val="20"/>
              </w:rPr>
              <w:t>1,765</w:t>
            </w:r>
          </w:p>
        </w:tc>
      </w:tr>
    </w:tbl>
    <w:p>
      <w:pPr>
        <w:pStyle w:val="TextBody"/>
        <w:bidi w:val="0"/>
        <w:spacing w:before="0" w:after="0"/>
        <w:ind w:left="0" w:right="0" w:hanging="0"/>
        <w:jc w:val="left"/>
        <w:rPr/>
      </w:pPr>
      <w:r>
        <w:rPr/>
        <w:t>​</w:t>
      </w:r>
    </w:p>
    <w:p>
      <w:pPr>
        <w:pStyle w:val="TextBody"/>
        <w:bidi w:val="0"/>
        <w:spacing w:before="240" w:after="240"/>
        <w:ind w:left="0" w:right="0" w:firstLine="720"/>
        <w:jc w:val="both"/>
        <w:rPr>
          <w:rFonts w:ascii="Times New Roman;Times;serif" w:hAnsi="Times New Roman;Times;serif"/>
          <w:sz w:val="20"/>
        </w:rPr>
      </w:pPr>
      <w:r>
        <w:rPr>
          <w:rFonts w:ascii="Times New Roman;Times;serif" w:hAnsi="Times New Roman;Times;serif"/>
          <w:sz w:val="20"/>
        </w:rPr>
        <w:t>In accordance with GAAP, we recognize deferred income taxes on our undistributed equity in earnings of Kronos. Because we and Kronos are part of the same U.S. federal income tax group, any dividends we receive from Kronos are nontaxable to us. Accordingly, we do not recognize and we are not required to pay income taxes on dividends from Kronos. We received aggregate dividends from Kronos of $1.8 million in each of the first three months of 2025 and 2026, respectively. The amounts shown in the above table of our income tax rate reconciliation for rate differences on equity in earnings (losses) of Kronos, net of dividends, represent the income tax benefit associated with the nontaxable dividends we received from Kronos compared to the amount of deferred income taxes we recognized on our equity in earnings (losses) of Kronos.</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On July 4, 2025, the One Big Beautiful Bill Act was signed into law in the United States. It did not have a material impact on our consolidated financial statements.</w:t>
      </w:r>
    </w:p>
    <w:p>
      <w:pPr>
        <w:pStyle w:val="TextBody"/>
        <w:bidi w:val="0"/>
        <w:spacing w:before="0" w:after="0"/>
        <w:ind w:left="0" w:right="0" w:firstLine="720"/>
        <w:jc w:val="both"/>
        <w:rPr/>
      </w:pPr>
      <w:r>
        <w:rPr/>
        <w:t>​</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13</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sz w:val="20"/>
        </w:rPr>
      </w:pPr>
      <w:bookmarkStart w:id="755" w:name="Tc_XnQDcSjAp0K9IgoX1LWNTA_26_5"/>
      <w:bookmarkStart w:id="756" w:name="Tc_9tPP7IpYNk6sj10ix08uYQ_26_2"/>
      <w:bookmarkStart w:id="757" w:name="Tc_pWI2CjOJV0GhflYqV4t5nA_26_0"/>
      <w:bookmarkStart w:id="758" w:name="Tc_XeLzCiEryUqewHaDucX2UA_25_0"/>
      <w:bookmarkStart w:id="759" w:name="Tc_sNFjxatkc0u4MPg8zvUvLg_24_5"/>
      <w:bookmarkStart w:id="760" w:name="Tc_SpgzjMhR0EulUJB_wdE0hg_24_2"/>
      <w:bookmarkStart w:id="761" w:name="Tc_Ezh0zl7NVEm370kTXDJ4-A_24_0"/>
      <w:bookmarkStart w:id="762" w:name="Tc_o_MnXqvPkEW83T4LE38Vzg_23_0"/>
      <w:bookmarkStart w:id="763" w:name="Tc_OwNLKzyR4UqUBC_KNNCqgQ_21_5"/>
      <w:bookmarkStart w:id="764" w:name="Tc_zOwDa9QgJkOofiBJ-2a8Cw_21_2"/>
      <w:bookmarkStart w:id="765" w:name="Tc_7oBmOdmTZ0KPzwhItLS_zQ_21_0"/>
      <w:bookmarkStart w:id="766" w:name="Tc_g_6cxB1x5E-1gBxPa2vmpA_20_0"/>
      <w:bookmarkStart w:id="767" w:name="Tc__0iKd90i_06Y3lIG8m4IwQ_19_0"/>
      <w:bookmarkStart w:id="768" w:name="Tc_D-Hup9anz0-3-eyeF9PlPg_18_5"/>
      <w:bookmarkStart w:id="769" w:name="Tc_21UxDBgpzUeH5QOX4r5TlA_18_2"/>
      <w:bookmarkStart w:id="770" w:name="Tc_1M6v22m85ke83WyeScjJ6g_18_0"/>
      <w:bookmarkStart w:id="771" w:name="Tc_m8fdmrLN10upOh39aNSESQ_17_0"/>
      <w:bookmarkStart w:id="772" w:name="Tc_bzTY6aJRk0CHyZWTaRd27w_15_5"/>
      <w:bookmarkStart w:id="773" w:name="Tc_KFdDMwA4DEG20v6L-PQQUw_15_2"/>
      <w:bookmarkStart w:id="774" w:name="Tc_MjGfkEJuY06-6QEZMrWJ0Q_15_0"/>
      <w:bookmarkStart w:id="775" w:name="Tc_tne6DlGAhkWuL_hWOmmWTg_14_0"/>
      <w:bookmarkStart w:id="776" w:name="Tc_VdGSifvXHUWXfV5pjaM8-Q_13_0"/>
      <w:bookmarkStart w:id="777" w:name="Tc_rpHHhs9YKkGOrTRa9k0YAA_12_5"/>
      <w:bookmarkStart w:id="778" w:name="Tc_7gnkZiRZ_0yI8oCgVbqM0w_12_2"/>
      <w:bookmarkStart w:id="779" w:name="Tc_HkDgtB26B06exv_U69qXkA_12_0"/>
      <w:bookmarkStart w:id="780" w:name="Tc_ZGruXN0lC0qiFzjaGltnXw_11_0"/>
      <w:bookmarkStart w:id="781" w:name="Tc_xH7L5lXq3U-6KaETJ3_8kA_9_5"/>
      <w:bookmarkStart w:id="782" w:name="Tc_Y7PhxK6WAUGc5Ab3ejxmpg_9_2"/>
      <w:bookmarkStart w:id="783" w:name="Tc_Bk9mOhm0O0CKK_Y6MjKVJA_9_0"/>
      <w:bookmarkStart w:id="784" w:name="Tc__RMMMbaM9kyjNmyVp2ncVQ_8_0"/>
      <w:bookmarkStart w:id="785" w:name="Tc_gCWwUBjtGEaLaUUlb3rjBQ_7_5"/>
      <w:bookmarkStart w:id="786" w:name="Tc_s8cuWpxAM0mJy9YGoIMA9g_7_2"/>
      <w:bookmarkStart w:id="787" w:name="Tc_58xfHNPu40ys1VgYULul8g_7_0"/>
      <w:bookmarkStart w:id="788" w:name="Tc_oyBwJq9D70udqOEkGSCdWw_6_0"/>
      <w:bookmarkStart w:id="789" w:name="Tc_cG99rkran0mKyT_PQck7-A_5_0"/>
      <w:bookmarkStart w:id="790" w:name="Tc_31LbR4ss_UW_EGSnynXTYw_4_2"/>
      <w:bookmarkStart w:id="791" w:name="Tc_yLxa_YF9JUCJw1zxB1RmMg_3_5"/>
      <w:bookmarkStart w:id="792" w:name="Tc_AX7coFV45UiiLuLbdrjG4Q_3_2"/>
      <w:bookmarkStart w:id="793" w:name="Tc_hGeU2dJ0h02ZryFZLRe9HQ_2_2"/>
      <w:bookmarkStart w:id="794" w:name="Tc_4TGOQwG2DEyHnHUOQRYEFg_1_2"/>
      <w:bookmarkEnd w:id="755"/>
      <w:bookmarkEnd w:id="756"/>
      <w:bookmarkEnd w:id="757"/>
      <w:bookmarkEnd w:id="758"/>
      <w:bookmarkEnd w:id="759"/>
      <w:bookmarkEnd w:id="760"/>
      <w:bookmarkEnd w:id="761"/>
      <w:bookmarkEnd w:id="762"/>
      <w:bookmarkEnd w:id="763"/>
      <w:bookmarkEnd w:id="764"/>
      <w:bookmarkEnd w:id="765"/>
      <w:bookmarkEnd w:id="766"/>
      <w:bookmarkEnd w:id="767"/>
      <w:bookmarkEnd w:id="768"/>
      <w:bookmarkEnd w:id="769"/>
      <w:bookmarkEnd w:id="770"/>
      <w:bookmarkEnd w:id="771"/>
      <w:bookmarkEnd w:id="772"/>
      <w:bookmarkEnd w:id="773"/>
      <w:bookmarkEnd w:id="774"/>
      <w:bookmarkEnd w:id="775"/>
      <w:bookmarkEnd w:id="776"/>
      <w:bookmarkEnd w:id="777"/>
      <w:bookmarkEnd w:id="778"/>
      <w:bookmarkEnd w:id="779"/>
      <w:bookmarkEnd w:id="780"/>
      <w:bookmarkEnd w:id="781"/>
      <w:bookmarkEnd w:id="782"/>
      <w:bookmarkEnd w:id="783"/>
      <w:bookmarkEnd w:id="784"/>
      <w:bookmarkEnd w:id="785"/>
      <w:bookmarkEnd w:id="786"/>
      <w:bookmarkEnd w:id="787"/>
      <w:bookmarkEnd w:id="788"/>
      <w:bookmarkEnd w:id="789"/>
      <w:bookmarkEnd w:id="790"/>
      <w:bookmarkEnd w:id="791"/>
      <w:bookmarkEnd w:id="792"/>
      <w:bookmarkEnd w:id="793"/>
      <w:bookmarkEnd w:id="794"/>
      <w:r>
        <w:rPr>
          <w:rFonts w:ascii="Times New Roman;Times;serif" w:hAnsi="Times New Roman;Times;serif"/>
          <w:b/>
          <w:sz w:val="20"/>
        </w:rPr>
        <w:t>Note 13 – Stockholders’ equity:</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i/>
          <w:sz w:val="20"/>
        </w:rPr>
        <w:t xml:space="preserve">Accumulated other comprehensive loss - </w:t>
      </w:r>
      <w:r>
        <w:rPr>
          <w:rFonts w:ascii="Times New Roman;Times;serif" w:hAnsi="Times New Roman;Times;serif"/>
          <w:sz w:val="20"/>
        </w:rPr>
        <w:t>Changes in accumulated other comprehensive loss attributable to NL stockholders, including amounts resulting from our investment in Kronos Worldwide (see Note 6), are presented in the table below.</w:t>
      </w:r>
    </w:p>
    <w:p>
      <w:pPr>
        <w:pStyle w:val="TextBody"/>
        <w:bidi w:val="0"/>
        <w:spacing w:before="0" w:after="0"/>
        <w:ind w:left="0" w:right="0" w:hanging="0"/>
        <w:jc w:val="left"/>
        <w:rPr/>
      </w:pPr>
      <w:r>
        <w:rPr/>
        <w:t>​</w:t>
      </w:r>
    </w:p>
    <w:tbl>
      <w:tblPr>
        <w:tblW w:w="10027" w:type="dxa"/>
        <w:jc w:val="left"/>
        <w:tblInd w:w="0" w:type="dxa"/>
        <w:tblLayout w:type="fixed"/>
        <w:tblCellMar>
          <w:top w:w="0" w:type="dxa"/>
          <w:left w:w="0" w:type="dxa"/>
          <w:bottom w:w="0" w:type="dxa"/>
          <w:right w:w="0" w:type="dxa"/>
        </w:tblCellMar>
      </w:tblPr>
      <w:tblGrid>
        <w:gridCol w:w="7066"/>
        <w:gridCol w:w="346"/>
        <w:gridCol w:w="211"/>
        <w:gridCol w:w="901"/>
        <w:gridCol w:w="346"/>
        <w:gridCol w:w="211"/>
        <w:gridCol w:w="946"/>
      </w:tblGrid>
      <w:tr>
        <w:trPr/>
        <w:tc>
          <w:tcPr>
            <w:tcW w:w="70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8">
                      <wp:simplePos x="0" y="0"/>
                      <wp:positionH relativeFrom="character">
                        <wp:align>left</wp:align>
                      </wp:positionH>
                      <wp:positionV relativeFrom="line">
                        <wp:posOffset>635</wp:posOffset>
                      </wp:positionV>
                      <wp:extent cx="4486910" cy="175260"/>
                      <wp:effectExtent l="0" t="0" r="0" b="0"/>
                      <wp:wrapNone/>
                      <wp:docPr id="137" name="Frame137"/>
                      <a:graphic xmlns:a="http://schemas.openxmlformats.org/drawingml/2006/main">
                        <a:graphicData uri="http://schemas.microsoft.com/office/word/2010/wordprocessingShape">
                          <wps:wsp>
                            <wps:cNvSpPr txBox="1"/>
                            <wps:spPr>
                              <a:xfrm>
                                <a:off x="0" y="0"/>
                                <a:ext cx="44869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53.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9">
                      <wp:simplePos x="0" y="0"/>
                      <wp:positionH relativeFrom="character">
                        <wp:align>left</wp:align>
                      </wp:positionH>
                      <wp:positionV relativeFrom="line">
                        <wp:posOffset>635</wp:posOffset>
                      </wp:positionV>
                      <wp:extent cx="219710" cy="175260"/>
                      <wp:effectExtent l="0" t="0" r="0" b="0"/>
                      <wp:wrapNone/>
                      <wp:docPr id="138" name="Frame138"/>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0">
                      <wp:simplePos x="0" y="0"/>
                      <wp:positionH relativeFrom="character">
                        <wp:align>left</wp:align>
                      </wp:positionH>
                      <wp:positionV relativeFrom="line">
                        <wp:posOffset>635</wp:posOffset>
                      </wp:positionV>
                      <wp:extent cx="133985" cy="175260"/>
                      <wp:effectExtent l="0" t="0" r="0" b="0"/>
                      <wp:wrapNone/>
                      <wp:docPr id="139" name="Frame139"/>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9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1">
                      <wp:simplePos x="0" y="0"/>
                      <wp:positionH relativeFrom="character">
                        <wp:align>left</wp:align>
                      </wp:positionH>
                      <wp:positionV relativeFrom="line">
                        <wp:posOffset>635</wp:posOffset>
                      </wp:positionV>
                      <wp:extent cx="572135" cy="175260"/>
                      <wp:effectExtent l="0" t="0" r="0" b="0"/>
                      <wp:wrapNone/>
                      <wp:docPr id="140" name="Frame140"/>
                      <a:graphic xmlns:a="http://schemas.openxmlformats.org/drawingml/2006/main">
                        <a:graphicData uri="http://schemas.microsoft.com/office/word/2010/wordprocessingShape">
                          <wps:wsp>
                            <wps:cNvSpPr txBox="1"/>
                            <wps:spPr>
                              <a:xfrm>
                                <a:off x="0" y="0"/>
                                <a:ext cx="5721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5.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2">
                      <wp:simplePos x="0" y="0"/>
                      <wp:positionH relativeFrom="character">
                        <wp:align>left</wp:align>
                      </wp:positionH>
                      <wp:positionV relativeFrom="line">
                        <wp:posOffset>635</wp:posOffset>
                      </wp:positionV>
                      <wp:extent cx="219710" cy="175260"/>
                      <wp:effectExtent l="0" t="0" r="0" b="0"/>
                      <wp:wrapNone/>
                      <wp:docPr id="141" name="Frame141"/>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3">
                      <wp:simplePos x="0" y="0"/>
                      <wp:positionH relativeFrom="character">
                        <wp:align>left</wp:align>
                      </wp:positionH>
                      <wp:positionV relativeFrom="line">
                        <wp:posOffset>635</wp:posOffset>
                      </wp:positionV>
                      <wp:extent cx="133985" cy="175260"/>
                      <wp:effectExtent l="0" t="0" r="0" b="0"/>
                      <wp:wrapNone/>
                      <wp:docPr id="142" name="Frame142"/>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9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4">
                      <wp:simplePos x="0" y="0"/>
                      <wp:positionH relativeFrom="character">
                        <wp:align>left</wp:align>
                      </wp:positionH>
                      <wp:positionV relativeFrom="line">
                        <wp:posOffset>635</wp:posOffset>
                      </wp:positionV>
                      <wp:extent cx="600710" cy="175260"/>
                      <wp:effectExtent l="0" t="0" r="0" b="0"/>
                      <wp:wrapNone/>
                      <wp:docPr id="143" name="Frame143"/>
                      <a:graphic xmlns:a="http://schemas.openxmlformats.org/drawingml/2006/main">
                        <a:graphicData uri="http://schemas.microsoft.com/office/word/2010/wordprocessingShape">
                          <wps:wsp>
                            <wps:cNvSpPr txBox="1"/>
                            <wps:spPr>
                              <a:xfrm>
                                <a:off x="0" y="0"/>
                                <a:ext cx="600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706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2615" w:type="dxa"/>
            <w:gridSpan w:val="5"/>
            <w:tcBorders/>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 xml:space="preserve">Three months ended </w:t>
            </w:r>
          </w:p>
        </w:tc>
      </w:tr>
      <w:tr>
        <w:trPr/>
        <w:tc>
          <w:tcPr>
            <w:tcW w:w="706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2615"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March 31, </w:t>
            </w:r>
          </w:p>
        </w:tc>
      </w:tr>
      <w:tr>
        <w:trPr/>
        <w:tc>
          <w:tcPr>
            <w:tcW w:w="706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  ​ ​ ​</w:t>
            </w:r>
          </w:p>
        </w:tc>
        <w:tc>
          <w:tcPr>
            <w:tcW w:w="111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2025</w:t>
            </w:r>
          </w:p>
        </w:tc>
        <w:tc>
          <w:tcPr>
            <w:tcW w:w="346" w:type="dxa"/>
            <w:tcBorders/>
            <w:vAlign w:val="center"/>
          </w:tcPr>
          <w:p>
            <w:pPr>
              <w:pStyle w:val="TableContents"/>
              <w:bidi w:val="0"/>
              <w:spacing w:before="0" w:after="1"/>
              <w:ind w:left="0" w:right="0" w:hanging="0"/>
              <w:jc w:val="left"/>
              <w:rPr/>
            </w:pPr>
            <w:r>
              <w:rPr/>
              <w:t>  ​ ​ ​</w:t>
            </w:r>
          </w:p>
        </w:tc>
        <w:tc>
          <w:tcPr>
            <w:tcW w:w="115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2026</w:t>
            </w:r>
          </w:p>
        </w:tc>
      </w:tr>
      <w:tr>
        <w:trPr/>
        <w:tc>
          <w:tcPr>
            <w:tcW w:w="10027" w:type="dxa"/>
            <w:gridSpan w:val="7"/>
            <w:tcBorders/>
            <w:vAlign w:val="center"/>
          </w:tcPr>
          <w:p>
            <w:pPr>
              <w:pStyle w:val="TableContents"/>
              <w:bidi w:val="0"/>
              <w:spacing w:before="0" w:after="283"/>
              <w:ind w:left="0" w:right="0" w:hanging="0"/>
              <w:jc w:val="left"/>
              <w:rPr>
                <w:sz w:val="4"/>
                <w:szCs w:val="4"/>
              </w:rPr>
            </w:pPr>
            <w:r>
              <w:rPr>
                <w:sz w:val="4"/>
                <w:szCs w:val="4"/>
              </w:rPr>
            </w:r>
          </w:p>
        </w:tc>
      </w:tr>
      <w:tr>
        <w:trPr/>
        <w:tc>
          <w:tcPr>
            <w:tcW w:w="706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2615" w:type="dxa"/>
            <w:gridSpan w:val="5"/>
            <w:tcBorders/>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(In thousands)</w:t>
            </w:r>
          </w:p>
        </w:tc>
      </w:tr>
      <w:tr>
        <w:trPr/>
        <w:tc>
          <w:tcPr>
            <w:tcW w:w="706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Accumulated other comprehensive loss, (net of tax and noncontrolling interest):</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901"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946" w:type="dxa"/>
            <w:tcBorders/>
            <w:shd w:fill="CCEEFF" w:val="clear"/>
            <w:vAlign w:val="center"/>
          </w:tcPr>
          <w:p>
            <w:pPr>
              <w:pStyle w:val="TableContents"/>
              <w:bidi w:val="0"/>
              <w:spacing w:before="0" w:after="1"/>
              <w:ind w:left="0" w:right="0" w:hanging="0"/>
              <w:jc w:val="right"/>
              <w:rPr/>
            </w:pPr>
            <w:r>
              <w:rPr/>
              <w:t>​</w:t>
            </w:r>
          </w:p>
        </w:tc>
      </w:tr>
      <w:tr>
        <w:trPr/>
        <w:tc>
          <w:tcPr>
            <w:tcW w:w="706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Currency translation:</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901"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946" w:type="dxa"/>
            <w:tcBorders/>
            <w:vAlign w:val="center"/>
          </w:tcPr>
          <w:p>
            <w:pPr>
              <w:pStyle w:val="TableContents"/>
              <w:bidi w:val="0"/>
              <w:spacing w:before="0" w:after="1"/>
              <w:ind w:left="0" w:right="0" w:hanging="0"/>
              <w:jc w:val="right"/>
              <w:rPr/>
            </w:pPr>
            <w:r>
              <w:rPr/>
              <w:t>​</w:t>
            </w:r>
          </w:p>
        </w:tc>
      </w:tr>
      <w:tr>
        <w:trPr/>
        <w:tc>
          <w:tcPr>
            <w:tcW w:w="706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Balance at beginning of period</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90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(185,423)</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w:t>
            </w:r>
          </w:p>
        </w:tc>
        <w:tc>
          <w:tcPr>
            <w:tcW w:w="946" w:type="dxa"/>
            <w:tcBorders/>
            <w:shd w:fill="CCEEFF" w:val="cle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(177,512)</w:t>
            </w:r>
          </w:p>
        </w:tc>
      </w:tr>
      <w:tr>
        <w:trPr/>
        <w:tc>
          <w:tcPr>
            <w:tcW w:w="706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Other comprehensive income</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90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4,185</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94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1,015</w:t>
            </w:r>
          </w:p>
        </w:tc>
      </w:tr>
      <w:tr>
        <w:trPr/>
        <w:tc>
          <w:tcPr>
            <w:tcW w:w="706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Balance at end of period</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90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(181,238)</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w:t>
            </w:r>
          </w:p>
        </w:tc>
        <w:tc>
          <w:tcPr>
            <w:tcW w:w="94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(176,497)</w:t>
            </w:r>
          </w:p>
        </w:tc>
      </w:tr>
      <w:tr>
        <w:trPr/>
        <w:tc>
          <w:tcPr>
            <w:tcW w:w="706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901"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946" w:type="dxa"/>
            <w:tcBorders/>
            <w:vAlign w:val="center"/>
          </w:tcPr>
          <w:p>
            <w:pPr>
              <w:pStyle w:val="TableContents"/>
              <w:bidi w:val="0"/>
              <w:spacing w:before="0" w:after="1"/>
              <w:ind w:left="0" w:right="0" w:hanging="0"/>
              <w:jc w:val="right"/>
              <w:rPr/>
            </w:pPr>
            <w:r>
              <w:rPr/>
              <w:t>​</w:t>
            </w:r>
          </w:p>
        </w:tc>
      </w:tr>
      <w:tr>
        <w:trPr/>
        <w:tc>
          <w:tcPr>
            <w:tcW w:w="706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Defined benefit pension plans:</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901"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946" w:type="dxa"/>
            <w:tcBorders/>
            <w:shd w:fill="CCEEFF" w:val="clear"/>
            <w:vAlign w:val="center"/>
          </w:tcPr>
          <w:p>
            <w:pPr>
              <w:pStyle w:val="TableContents"/>
              <w:bidi w:val="0"/>
              <w:spacing w:before="0" w:after="1"/>
              <w:ind w:left="0" w:right="0" w:hanging="0"/>
              <w:jc w:val="right"/>
              <w:rPr/>
            </w:pPr>
            <w:r>
              <w:rPr/>
              <w:t>​</w:t>
            </w:r>
          </w:p>
        </w:tc>
      </w:tr>
      <w:tr>
        <w:trPr/>
        <w:tc>
          <w:tcPr>
            <w:tcW w:w="706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Balance at beginning of period</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90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(36,666)</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w:t>
            </w:r>
          </w:p>
        </w:tc>
        <w:tc>
          <w:tcPr>
            <w:tcW w:w="946" w:type="dxa"/>
            <w:tcBorders/>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(17,359)</w:t>
            </w:r>
          </w:p>
        </w:tc>
      </w:tr>
      <w:tr>
        <w:trPr/>
        <w:tc>
          <w:tcPr>
            <w:tcW w:w="706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 xml:space="preserve">Other comprehensive income - </w:t>
            </w:r>
          </w:p>
        </w:tc>
        <w:tc>
          <w:tcPr>
            <w:tcW w:w="346" w:type="dxa"/>
            <w:tcBorders/>
            <w:shd w:fill="CCEEFF" w:val="clear"/>
            <w:vAlign w:val="center"/>
          </w:tcPr>
          <w:p>
            <w:pPr>
              <w:pStyle w:val="TableContents"/>
              <w:bidi w:val="0"/>
              <w:spacing w:before="0" w:after="1"/>
              <w:ind w:left="0" w:right="0" w:hanging="0"/>
              <w:jc w:val="right"/>
              <w:rPr/>
            </w:pPr>
            <w:r>
              <w:rPr/>
              <w:t>​</w:t>
            </w:r>
          </w:p>
        </w:tc>
        <w:tc>
          <w:tcPr>
            <w:tcW w:w="211" w:type="dxa"/>
            <w:tcBorders/>
            <w:shd w:fill="CCEEFF" w:val="clear"/>
            <w:vAlign w:val="center"/>
          </w:tcPr>
          <w:p>
            <w:pPr>
              <w:pStyle w:val="TableContents"/>
              <w:bidi w:val="0"/>
              <w:spacing w:before="0" w:after="1"/>
              <w:ind w:left="0" w:right="0" w:hanging="0"/>
              <w:jc w:val="right"/>
              <w:rPr/>
            </w:pPr>
            <w:r>
              <w:rPr/>
              <w:t>​</w:t>
            </w:r>
          </w:p>
        </w:tc>
        <w:tc>
          <w:tcPr>
            <w:tcW w:w="901"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right"/>
              <w:rPr/>
            </w:pPr>
            <w:r>
              <w:rPr/>
              <w:t>​</w:t>
            </w:r>
          </w:p>
        </w:tc>
        <w:tc>
          <w:tcPr>
            <w:tcW w:w="211" w:type="dxa"/>
            <w:tcBorders/>
            <w:shd w:fill="CCEEFF" w:val="clear"/>
            <w:vAlign w:val="center"/>
          </w:tcPr>
          <w:p>
            <w:pPr>
              <w:pStyle w:val="TableContents"/>
              <w:bidi w:val="0"/>
              <w:spacing w:before="0" w:after="1"/>
              <w:ind w:left="0" w:right="0" w:hanging="0"/>
              <w:jc w:val="right"/>
              <w:rPr/>
            </w:pPr>
            <w:r>
              <w:rPr/>
              <w:t>​</w:t>
            </w:r>
          </w:p>
        </w:tc>
        <w:tc>
          <w:tcPr>
            <w:tcW w:w="946" w:type="dxa"/>
            <w:tcBorders/>
            <w:shd w:fill="CCEEFF" w:val="clear"/>
            <w:vAlign w:val="center"/>
          </w:tcPr>
          <w:p>
            <w:pPr>
              <w:pStyle w:val="TableContents"/>
              <w:bidi w:val="0"/>
              <w:spacing w:before="0" w:after="1"/>
              <w:ind w:left="0" w:right="0" w:hanging="0"/>
              <w:jc w:val="right"/>
              <w:rPr/>
            </w:pPr>
            <w:r>
              <w:rPr/>
              <w:t>​</w:t>
            </w:r>
          </w:p>
        </w:tc>
      </w:tr>
      <w:tr>
        <w:trPr/>
        <w:tc>
          <w:tcPr>
            <w:tcW w:w="706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Amortization of prior service cost and net losses included in net periodic pension cost</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90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317</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94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86</w:t>
            </w:r>
          </w:p>
        </w:tc>
      </w:tr>
      <w:tr>
        <w:trPr/>
        <w:tc>
          <w:tcPr>
            <w:tcW w:w="706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Balance at end of period</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90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(36,349)</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w:t>
            </w:r>
          </w:p>
        </w:tc>
        <w:tc>
          <w:tcPr>
            <w:tcW w:w="94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(17,273)</w:t>
            </w:r>
          </w:p>
        </w:tc>
      </w:tr>
      <w:tr>
        <w:trPr/>
        <w:tc>
          <w:tcPr>
            <w:tcW w:w="706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901"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946" w:type="dxa"/>
            <w:tcBorders/>
            <w:vAlign w:val="center"/>
          </w:tcPr>
          <w:p>
            <w:pPr>
              <w:pStyle w:val="TableContents"/>
              <w:bidi w:val="0"/>
              <w:spacing w:before="0" w:after="1"/>
              <w:ind w:left="0" w:right="0" w:hanging="0"/>
              <w:jc w:val="right"/>
              <w:rPr/>
            </w:pPr>
            <w:r>
              <w:rPr/>
              <w:t>​</w:t>
            </w:r>
          </w:p>
        </w:tc>
      </w:tr>
      <w:tr>
        <w:trPr/>
        <w:tc>
          <w:tcPr>
            <w:tcW w:w="706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OPEB plans:</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901"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946" w:type="dxa"/>
            <w:tcBorders/>
            <w:shd w:fill="CCEEFF" w:val="clear"/>
            <w:vAlign w:val="center"/>
          </w:tcPr>
          <w:p>
            <w:pPr>
              <w:pStyle w:val="TableContents"/>
              <w:bidi w:val="0"/>
              <w:spacing w:before="0" w:after="1"/>
              <w:ind w:left="0" w:right="0" w:hanging="0"/>
              <w:jc w:val="right"/>
              <w:rPr/>
            </w:pPr>
            <w:r>
              <w:rPr/>
              <w:t>​</w:t>
            </w:r>
          </w:p>
        </w:tc>
      </w:tr>
      <w:tr>
        <w:trPr/>
        <w:tc>
          <w:tcPr>
            <w:tcW w:w="706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Balance at beginning of period</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90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(1,267)</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w:t>
            </w:r>
          </w:p>
        </w:tc>
        <w:tc>
          <w:tcPr>
            <w:tcW w:w="946" w:type="dxa"/>
            <w:tcBorders/>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(1,196)</w:t>
            </w:r>
          </w:p>
        </w:tc>
      </w:tr>
      <w:tr>
        <w:trPr/>
        <w:tc>
          <w:tcPr>
            <w:tcW w:w="706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 xml:space="preserve">Other comprehensive loss - </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901"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946" w:type="dxa"/>
            <w:tcBorders/>
            <w:shd w:fill="CCEEFF" w:val="clear"/>
            <w:vAlign w:val="center"/>
          </w:tcPr>
          <w:p>
            <w:pPr>
              <w:pStyle w:val="TableContents"/>
              <w:bidi w:val="0"/>
              <w:spacing w:before="0" w:after="1"/>
              <w:ind w:left="0" w:right="0" w:hanging="0"/>
              <w:jc w:val="right"/>
              <w:rPr/>
            </w:pPr>
            <w:r>
              <w:rPr/>
              <w:t>​</w:t>
            </w:r>
          </w:p>
        </w:tc>
      </w:tr>
      <w:tr>
        <w:trPr/>
        <w:tc>
          <w:tcPr>
            <w:tcW w:w="706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Amortization of net gain included in net periodic OPEB cost</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90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(33)</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94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1</w:t>
            </w:r>
          </w:p>
        </w:tc>
      </w:tr>
      <w:tr>
        <w:trPr/>
        <w:tc>
          <w:tcPr>
            <w:tcW w:w="706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Balance at end of period</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90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(1,300)</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w:t>
            </w:r>
          </w:p>
        </w:tc>
        <w:tc>
          <w:tcPr>
            <w:tcW w:w="94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(1,195)</w:t>
            </w:r>
          </w:p>
        </w:tc>
      </w:tr>
      <w:tr>
        <w:trPr/>
        <w:tc>
          <w:tcPr>
            <w:tcW w:w="706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901"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946" w:type="dxa"/>
            <w:tcBorders/>
            <w:vAlign w:val="center"/>
          </w:tcPr>
          <w:p>
            <w:pPr>
              <w:pStyle w:val="TableContents"/>
              <w:bidi w:val="0"/>
              <w:spacing w:before="0" w:after="1"/>
              <w:ind w:left="0" w:right="0" w:hanging="0"/>
              <w:jc w:val="right"/>
              <w:rPr/>
            </w:pPr>
            <w:r>
              <w:rPr/>
              <w:t>​</w:t>
            </w:r>
          </w:p>
        </w:tc>
      </w:tr>
      <w:tr>
        <w:trPr/>
        <w:tc>
          <w:tcPr>
            <w:tcW w:w="706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Total accumulated other comprehensive loss:</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901"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946" w:type="dxa"/>
            <w:tcBorders/>
            <w:shd w:fill="CCEEFF" w:val="clear"/>
            <w:vAlign w:val="center"/>
          </w:tcPr>
          <w:p>
            <w:pPr>
              <w:pStyle w:val="TableContents"/>
              <w:bidi w:val="0"/>
              <w:spacing w:before="0" w:after="1"/>
              <w:ind w:left="0" w:right="0" w:hanging="0"/>
              <w:jc w:val="right"/>
              <w:rPr/>
            </w:pPr>
            <w:r>
              <w:rPr/>
              <w:t>​</w:t>
            </w:r>
          </w:p>
        </w:tc>
      </w:tr>
      <w:tr>
        <w:trPr/>
        <w:tc>
          <w:tcPr>
            <w:tcW w:w="706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Balance at beginning of period</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90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(223,356)</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w:t>
            </w:r>
          </w:p>
        </w:tc>
        <w:tc>
          <w:tcPr>
            <w:tcW w:w="946" w:type="dxa"/>
            <w:tcBorders/>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(196,067)</w:t>
            </w:r>
          </w:p>
        </w:tc>
      </w:tr>
      <w:tr>
        <w:trPr/>
        <w:tc>
          <w:tcPr>
            <w:tcW w:w="706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Other comprehensive income</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90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4,469</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94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1,102</w:t>
            </w:r>
          </w:p>
        </w:tc>
      </w:tr>
      <w:tr>
        <w:trPr/>
        <w:tc>
          <w:tcPr>
            <w:tcW w:w="706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Balance at end of period</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901"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(218,887)</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w:t>
            </w:r>
          </w:p>
        </w:tc>
        <w:tc>
          <w:tcPr>
            <w:tcW w:w="946"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(194,965)</w:t>
            </w:r>
          </w:p>
        </w:tc>
      </w:tr>
    </w:tbl>
    <w:p>
      <w:pPr>
        <w:pStyle w:val="TextBody"/>
        <w:bidi w:val="0"/>
        <w:spacing w:before="0" w:after="240"/>
        <w:ind w:left="0" w:right="0" w:firstLine="720"/>
        <w:jc w:val="both"/>
        <w:rPr/>
      </w:pPr>
      <w:r>
        <w:rPr/>
        <w:t>​</w:t>
      </w:r>
    </w:p>
    <w:p>
      <w:pPr>
        <w:pStyle w:val="TextBody"/>
        <w:bidi w:val="0"/>
        <w:spacing w:before="0" w:after="240"/>
        <w:ind w:left="0" w:right="0" w:firstLine="720"/>
        <w:jc w:val="both"/>
        <w:rPr/>
      </w:pPr>
      <w:r>
        <w:rPr/>
        <w:t>​</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Note 14 – Commitments and contingencies:</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General</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We are involved in various environmental, contractual, product liability, patent (or intellectual property), employment and other claims and disputes incidental to our current and former businesses. At least quarterly our management discusses and evaluates the status of any pending litigation or claim to which we are a party or which has been asserted against us. The factors considered in such evaluation include, among other things, the nature of such pending cases and claims, the status of such pending cases and claims, the advice of legal counsel and our experience in similar cases and claims (if any). Based on such evaluation, we make a determination as to whether we believe (i) it is probable a loss has been incurred, and if so, if the amount of such loss (or a range of loss) is reasonably estimable, or (ii) it is reasonably possible but not probable a loss has been incurred, and if so, if the amount of such loss (or a range of loss) is reasonably estimable, or (iii) the probability a loss has been incurred is remote.</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Lead pigment litigation</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Our former operations included the manufacture of lead pigments for use in paint and lead-based paint. We, other former manufacturers of lead pigments for use in paint and lead-based paint (together, the “former pigment manufacturers”), and the Lead Industries Association (“LIA”), which discontinued business operations in 2002, have previously been named as defendants in various legal proceedings seeking damages for personal injury, property damage and governmental expenditures allegedly caused by the use of lead-based paints. Certain of these actions were filed by or on behalf of states, counties, cities or their public housing authorities and school districts, and certain others were asserted as class actions.  We currently have no pending lead paint class action cases or pending lead paint cases brought by housing authorities, school districts or other government entities.</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14</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New cases may continue to be filed against us. We do not know if we will incur liability in the future in respect of any of the pending or possible litigation in view of the inherent uncertainties involved in court and jury rulings. In the future, if new information regarding such matters becomes available to us (such as a final, non-appealable adverse verdict against us or otherwise ultimately being found liable with respect to such matters), at that time we would consider such information in evaluating any remaining cases then-pending against us as to whether it might then have become probable we have incurred liability with respect to these matters, and whether such liability, if any, could have become reasonably estimable. The resolution of any of these cases could result in the recognition of a loss contingency accrual that could have a material adverse impact on our net income for the interim or annual period during which such liability is recognized and a material adverse impact on our consolidated financial condition and liquidity.</w:t>
      </w:r>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Environmental matters and litigation</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Our operations are governed by various environmental laws and regulations. Certain of our businesses are and have been engaged in the handling, manufacture or use of substances or compounds that may be considered toxic or hazardous within the meaning of applicable environmental laws and regulations. As with other companies engaged in similar businesses, certain of our past and current operations and products have the potential to cause environmental or other damage. We have implemented and continue to implement various policies and programs in an effort to minimize these risks. Our policy is to maintain compliance with applicable environmental laws and regulations at all of our plants and to strive to improve environmental performance. From time to time, we may be subject to environmental regulatory enforcement under U.S. statutes, the resolution of which typically involves the establishment of compliance programs. It is possible that future developments, such as stricter requirements of environmental laws and enforcement policies, could adversely affect our production, handling, use, storage, transportation, sale or disposal of such substances. We believe all of our facilities are in substantial compliance with applicable environmental laws.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Certain properties and facilities used in our former operations, including divested primary and secondary lead smelters and former mining locations, are the subject of civil litigation, administrative proceedings or investigations arising under federal and state environmental laws and common law. Additionally, in connection with past operating practices, we are currently involved as a defendant, potentially responsible party (“PRP”) or both, pursuant to the Comprehensive Environmental Response, Compensation and Liability Act, as amended by the Superfund Amendments and Reauthorization Act (“CERCLA”), and similar state laws in various governmental and private actions associated with waste disposal sites, mining locations, and facilities that we or our predecessors, our subsidiaries or their predecessors currently or previously owned, operated or used, certain of which are on the United States Environmental Protection Agency’s (“EPA”) Superfund National Priorities List or similar state lists. These proceedings seek cleanup costs, damages for personal injury or property damage and/or damages for injury to natural resources. Certain of these proceedings involve claims for substantial amounts. Although we may be jointly and severally liable for these costs, in most cases we are only one of a number of PRPs who may also be jointly and severally liable, and among whom costs may be shared or allocated. In addition, we are occasionally named as a party in a number of personal injury lawsuits filed in various jurisdictions alleging claims related to environmental conditions alleged to have resulted from our operations.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Obligations associated with environmental remediation and related matters are difficult to assess and estimate for numerous reasons including the:</w:t>
      </w:r>
    </w:p>
    <w:tbl>
      <w:tblPr>
        <w:tblW w:w="6171" w:type="dxa"/>
        <w:jc w:val="left"/>
        <w:tblInd w:w="0" w:type="dxa"/>
        <w:tblLayout w:type="fixed"/>
        <w:tblCellMar>
          <w:top w:w="28" w:type="dxa"/>
          <w:left w:w="28" w:type="dxa"/>
          <w:bottom w:w="28" w:type="dxa"/>
          <w:right w:w="28" w:type="dxa"/>
        </w:tblCellMar>
      </w:tblPr>
      <w:tblGrid>
        <w:gridCol w:w="124"/>
        <w:gridCol w:w="256"/>
        <w:gridCol w:w="579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579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complexity and differing interpretations of governmental regulations,</w:t>
            </w:r>
          </w:p>
        </w:tc>
      </w:tr>
    </w:tbl>
    <w:tbl>
      <w:tblPr>
        <w:tblW w:w="6981" w:type="dxa"/>
        <w:jc w:val="left"/>
        <w:tblInd w:w="0" w:type="dxa"/>
        <w:tblLayout w:type="fixed"/>
        <w:tblCellMar>
          <w:top w:w="28" w:type="dxa"/>
          <w:left w:w="28" w:type="dxa"/>
          <w:bottom w:w="28" w:type="dxa"/>
          <w:right w:w="28" w:type="dxa"/>
        </w:tblCellMar>
      </w:tblPr>
      <w:tblGrid>
        <w:gridCol w:w="124"/>
        <w:gridCol w:w="256"/>
        <w:gridCol w:w="660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660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number of PRPs and their ability or willingness to fund such allocation of costs,</w:t>
            </w:r>
          </w:p>
        </w:tc>
      </w:tr>
    </w:tbl>
    <w:tbl>
      <w:tblPr>
        <w:tblW w:w="6486" w:type="dxa"/>
        <w:jc w:val="left"/>
        <w:tblInd w:w="0" w:type="dxa"/>
        <w:tblLayout w:type="fixed"/>
        <w:tblCellMar>
          <w:top w:w="28" w:type="dxa"/>
          <w:left w:w="28" w:type="dxa"/>
          <w:bottom w:w="28" w:type="dxa"/>
          <w:right w:w="28" w:type="dxa"/>
        </w:tblCellMar>
      </w:tblPr>
      <w:tblGrid>
        <w:gridCol w:w="124"/>
        <w:gridCol w:w="256"/>
        <w:gridCol w:w="610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610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financial capabilities of the PRPs and the allocation of costs among them,</w:t>
            </w:r>
          </w:p>
        </w:tc>
      </w:tr>
    </w:tbl>
    <w:tbl>
      <w:tblPr>
        <w:tblW w:w="2451" w:type="dxa"/>
        <w:jc w:val="left"/>
        <w:tblInd w:w="0" w:type="dxa"/>
        <w:tblLayout w:type="fixed"/>
        <w:tblCellMar>
          <w:top w:w="28" w:type="dxa"/>
          <w:left w:w="28" w:type="dxa"/>
          <w:bottom w:w="28" w:type="dxa"/>
          <w:right w:w="28" w:type="dxa"/>
        </w:tblCellMar>
      </w:tblPr>
      <w:tblGrid>
        <w:gridCol w:w="124"/>
        <w:gridCol w:w="256"/>
        <w:gridCol w:w="207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207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solvency of other PRPs,</w:t>
            </w:r>
          </w:p>
        </w:tc>
      </w:tr>
    </w:tbl>
    <w:tbl>
      <w:tblPr>
        <w:tblW w:w="3276" w:type="dxa"/>
        <w:jc w:val="left"/>
        <w:tblInd w:w="0" w:type="dxa"/>
        <w:tblLayout w:type="fixed"/>
        <w:tblCellMar>
          <w:top w:w="28" w:type="dxa"/>
          <w:left w:w="28" w:type="dxa"/>
          <w:bottom w:w="28" w:type="dxa"/>
          <w:right w:w="28" w:type="dxa"/>
        </w:tblCellMar>
      </w:tblPr>
      <w:tblGrid>
        <w:gridCol w:w="124"/>
        <w:gridCol w:w="256"/>
        <w:gridCol w:w="289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289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multiplicity of possible solutions,</w:t>
            </w:r>
          </w:p>
        </w:tc>
      </w:tr>
    </w:tbl>
    <w:tbl>
      <w:tblPr>
        <w:tblW w:w="6696" w:type="dxa"/>
        <w:jc w:val="left"/>
        <w:tblInd w:w="0" w:type="dxa"/>
        <w:tblLayout w:type="fixed"/>
        <w:tblCellMar>
          <w:top w:w="28" w:type="dxa"/>
          <w:left w:w="28" w:type="dxa"/>
          <w:bottom w:w="28" w:type="dxa"/>
          <w:right w:w="28" w:type="dxa"/>
        </w:tblCellMar>
      </w:tblPr>
      <w:tblGrid>
        <w:gridCol w:w="124"/>
        <w:gridCol w:w="256"/>
        <w:gridCol w:w="631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631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number of years of investigatory, remedial and monitoring activity required,</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uncertainty over the extent, if any, to which our former operations might have contributed to the conditions allegedly giving rise to such personal injury, property damage, natural resource and related claims, and</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number of years between former operations and notice of claims and lack of information and documents about the former operations.</w:t>
            </w:r>
          </w:p>
        </w:tc>
      </w:tr>
    </w:tbl>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 xml:space="preserve">In addition, the imposition of more stringent standards or requirements under environmental laws or regulations, new developments or changes regarding site cleanup costs or the allocation of costs among PRPs, solvency of other PRPs, the results of future testing and analysis undertaken with respect to certain sites or a determination that we are potentially responsible for the release of hazardous substances at other sites, could cause our expenditures to exceed our current estimates. Actual costs could exceed accrued </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15</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both"/>
        <w:rPr>
          <w:rFonts w:ascii="Times New Roman;Times;serif" w:hAnsi="Times New Roman;Times;serif"/>
          <w:sz w:val="20"/>
        </w:rPr>
      </w:pPr>
      <w:bookmarkStart w:id="795" w:name="Tc_h8pbKr4s9US1VVWTEzASVA_12_2"/>
      <w:bookmarkStart w:id="796" w:name="Tc_v1xrRoVHokyTAb4Hy5ApMQ_12_0"/>
      <w:bookmarkStart w:id="797" w:name="Tc_rMxIX2WXqkygrrSVGUJ3Zw_11_0"/>
      <w:bookmarkStart w:id="798" w:name="Tc_oC9oaZzSN0yiXZoSE7A88w_10_2"/>
      <w:bookmarkStart w:id="799" w:name="Tc_KgERmqGCJ0mQlXny34ubzw_10_0"/>
      <w:bookmarkStart w:id="800" w:name="Tc_FnJjzK4p8EqxF1KITFdkGw_9_0"/>
      <w:bookmarkStart w:id="801" w:name="Tc_rbi6wA9LTkK97H8GlFEyKg_7_2"/>
      <w:bookmarkStart w:id="802" w:name="Tc_uAvfmXUnxEGu8aufbXoNyQ_7_0"/>
      <w:bookmarkStart w:id="803" w:name="Tc_2l-0iHtCKkSmm1NlMZ0ctA_6_0"/>
      <w:bookmarkStart w:id="804" w:name="Tc_VAX8K3EMhkOP7N6oV-ZocQ_5_0"/>
      <w:bookmarkStart w:id="805" w:name="Tc_dJLC6cTOsEmfLDzFRqJr1w_4_2"/>
      <w:bookmarkStart w:id="806" w:name="Tc_xmOe-BBUMUalzP_cGSbtug_2_2"/>
      <w:bookmarkStart w:id="807" w:name="Tc_y2JXEND_w0uSTQqtpVNLzA_1_2"/>
      <w:bookmarkEnd w:id="795"/>
      <w:bookmarkEnd w:id="796"/>
      <w:bookmarkEnd w:id="797"/>
      <w:bookmarkEnd w:id="798"/>
      <w:bookmarkEnd w:id="799"/>
      <w:bookmarkEnd w:id="800"/>
      <w:bookmarkEnd w:id="801"/>
      <w:bookmarkEnd w:id="802"/>
      <w:bookmarkEnd w:id="803"/>
      <w:bookmarkEnd w:id="804"/>
      <w:bookmarkEnd w:id="805"/>
      <w:bookmarkEnd w:id="806"/>
      <w:bookmarkEnd w:id="807"/>
      <w:r>
        <w:rPr>
          <w:rFonts w:ascii="Times New Roman;Times;serif" w:hAnsi="Times New Roman;Times;serif"/>
          <w:sz w:val="20"/>
        </w:rPr>
        <w:t>amounts or the upper end of the range for sites for which estimates have been made, and costs may be incurred for sites where no estimates presently can be made. Further, additional environmental and related matters may arise in the future. If we were to incur any future liability, this could have a material adverse effect on our Condensed Consolidated Financial Statements, results of operations and liquidity.</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 xml:space="preserve">We record liabilities related to environmental remediation and related matters (including costs associated with damages for personal injury or property damage and/or damages for injury to natural resources) when estimated future expenditures are probable and reasonably estimable. We adjust such accruals as further information becomes available to us or as circumstances change. Unless the amounts and timing of such estimated future expenditures are fixed and reasonably determinable, we generally do not discount estimated future expenditures to their present value due to the uncertainty of the timing of the payout. We recognize recoveries of costs from other parties, if any, as assets when their receipt is deemed probable. </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We do not know and cannot estimate the exact time frame over which we will make payments for our accrued environmental and related costs. The timing of payments depends upon a number of factors, including but not limited to the timing of the actual remediation process; which in turn depends on factors outside of our control. At each balance sheet date, we estimate the amount of our accrued environmental and related costs which we expect to pay within the next twelve months, and we classify this estimate as a current liability. We classify the remaining accrued environmental costs as a noncurrent liability.</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Changes in the accrued environmental remediation and related costs during the first three months of 2026 are as follows:</w:t>
      </w:r>
    </w:p>
    <w:p>
      <w:pPr>
        <w:pStyle w:val="TextBody"/>
        <w:bidi w:val="0"/>
        <w:spacing w:before="0" w:after="0"/>
        <w:ind w:left="0" w:right="0" w:hanging="0"/>
        <w:jc w:val="left"/>
        <w:rPr/>
      </w:pPr>
      <w:r>
        <w:rPr/>
        <w:t>​</w:t>
      </w:r>
    </w:p>
    <w:tbl>
      <w:tblPr>
        <w:tblW w:w="9272" w:type="dxa"/>
        <w:jc w:val="left"/>
        <w:tblInd w:w="0" w:type="dxa"/>
        <w:tblLayout w:type="fixed"/>
        <w:tblCellMar>
          <w:top w:w="0" w:type="dxa"/>
          <w:left w:w="0" w:type="dxa"/>
          <w:bottom w:w="0" w:type="dxa"/>
          <w:right w:w="0" w:type="dxa"/>
        </w:tblCellMar>
      </w:tblPr>
      <w:tblGrid>
        <w:gridCol w:w="7591"/>
        <w:gridCol w:w="346"/>
        <w:gridCol w:w="329"/>
        <w:gridCol w:w="1006"/>
      </w:tblGrid>
      <w:tr>
        <w:trPr/>
        <w:tc>
          <w:tcPr>
            <w:tcW w:w="75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5">
                      <wp:simplePos x="0" y="0"/>
                      <wp:positionH relativeFrom="character">
                        <wp:align>left</wp:align>
                      </wp:positionH>
                      <wp:positionV relativeFrom="line">
                        <wp:posOffset>635</wp:posOffset>
                      </wp:positionV>
                      <wp:extent cx="4820285" cy="175260"/>
                      <wp:effectExtent l="0" t="0" r="0" b="0"/>
                      <wp:wrapNone/>
                      <wp:docPr id="144" name="Frame144"/>
                      <a:graphic xmlns:a="http://schemas.openxmlformats.org/drawingml/2006/main">
                        <a:graphicData uri="http://schemas.microsoft.com/office/word/2010/wordprocessingShape">
                          <wps:wsp>
                            <wps:cNvSpPr txBox="1"/>
                            <wps:spPr>
                              <a:xfrm>
                                <a:off x="0" y="0"/>
                                <a:ext cx="48202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79.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6">
                      <wp:simplePos x="0" y="0"/>
                      <wp:positionH relativeFrom="character">
                        <wp:align>left</wp:align>
                      </wp:positionH>
                      <wp:positionV relativeFrom="line">
                        <wp:posOffset>635</wp:posOffset>
                      </wp:positionV>
                      <wp:extent cx="219710" cy="175260"/>
                      <wp:effectExtent l="0" t="0" r="0" b="0"/>
                      <wp:wrapNone/>
                      <wp:docPr id="145" name="Frame145"/>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7">
                      <wp:simplePos x="0" y="0"/>
                      <wp:positionH relativeFrom="character">
                        <wp:align>left</wp:align>
                      </wp:positionH>
                      <wp:positionV relativeFrom="line">
                        <wp:posOffset>635</wp:posOffset>
                      </wp:positionV>
                      <wp:extent cx="208915" cy="175260"/>
                      <wp:effectExtent l="0" t="0" r="0" b="0"/>
                      <wp:wrapNone/>
                      <wp:docPr id="146" name="Frame146"/>
                      <a:graphic xmlns:a="http://schemas.openxmlformats.org/drawingml/2006/main">
                        <a:graphicData uri="http://schemas.microsoft.com/office/word/2010/wordprocessingShape">
                          <wps:wsp>
                            <wps:cNvSpPr txBox="1"/>
                            <wps:spPr>
                              <a:xfrm>
                                <a:off x="0" y="0"/>
                                <a:ext cx="2089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8">
                      <wp:simplePos x="0" y="0"/>
                      <wp:positionH relativeFrom="character">
                        <wp:align>left</wp:align>
                      </wp:positionH>
                      <wp:positionV relativeFrom="line">
                        <wp:posOffset>635</wp:posOffset>
                      </wp:positionV>
                      <wp:extent cx="638810" cy="175260"/>
                      <wp:effectExtent l="0" t="0" r="0" b="0"/>
                      <wp:wrapNone/>
                      <wp:docPr id="147" name="Frame147"/>
                      <a:graphic xmlns:a="http://schemas.openxmlformats.org/drawingml/2006/main">
                        <a:graphicData uri="http://schemas.microsoft.com/office/word/2010/wordprocessingShape">
                          <wps:wsp>
                            <wps:cNvSpPr txBox="1"/>
                            <wps:spPr>
                              <a:xfrm>
                                <a:off x="0" y="0"/>
                                <a:ext cx="6388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0.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759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1335"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Amount</w:t>
            </w:r>
          </w:p>
        </w:tc>
      </w:tr>
      <w:tr>
        <w:trPr/>
        <w:tc>
          <w:tcPr>
            <w:tcW w:w="759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  ​ ​ ​</w:t>
            </w:r>
          </w:p>
        </w:tc>
        <w:tc>
          <w:tcPr>
            <w:tcW w:w="1335" w:type="dxa"/>
            <w:gridSpan w:val="2"/>
            <w:tcBorders/>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(In thousands)</w:t>
            </w:r>
          </w:p>
        </w:tc>
      </w:tr>
      <w:tr>
        <w:trPr/>
        <w:tc>
          <w:tcPr>
            <w:tcW w:w="759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329" w:type="dxa"/>
            <w:tcBorders/>
            <w:vAlign w:val="center"/>
          </w:tcPr>
          <w:p>
            <w:pPr>
              <w:pStyle w:val="TableContents"/>
              <w:bidi w:val="0"/>
              <w:spacing w:before="0" w:after="1"/>
              <w:ind w:left="0" w:right="0" w:hanging="0"/>
              <w:jc w:val="center"/>
              <w:rPr/>
            </w:pPr>
            <w:r>
              <w:rPr/>
              <w:t>​</w:t>
            </w:r>
          </w:p>
        </w:tc>
        <w:tc>
          <w:tcPr>
            <w:tcW w:w="1006" w:type="dxa"/>
            <w:tcBorders/>
            <w:vAlign w:val="center"/>
          </w:tcPr>
          <w:p>
            <w:pPr>
              <w:pStyle w:val="TableContents"/>
              <w:bidi w:val="0"/>
              <w:spacing w:before="0" w:after="1"/>
              <w:ind w:left="0" w:right="0" w:hanging="0"/>
              <w:jc w:val="center"/>
              <w:rPr/>
            </w:pPr>
            <w:r>
              <w:rPr/>
              <w:t>​</w:t>
            </w:r>
          </w:p>
        </w:tc>
      </w:tr>
      <w:tr>
        <w:trPr/>
        <w:tc>
          <w:tcPr>
            <w:tcW w:w="7591" w:type="dxa"/>
            <w:tcBorders/>
            <w:shd w:fill="CCEEFF" w:val="clear"/>
            <w:vAlign w:val="center"/>
          </w:tcPr>
          <w:p>
            <w:pPr>
              <w:pStyle w:val="TableContents"/>
              <w:bidi w:val="0"/>
              <w:spacing w:before="0" w:after="1"/>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Balance at the beginning of the period</w:t>
            </w:r>
          </w:p>
        </w:tc>
        <w:tc>
          <w:tcPr>
            <w:tcW w:w="346" w:type="dxa"/>
            <w:tcBorders/>
            <w:shd w:fill="CCEEFF" w:val="clear"/>
            <w:vAlign w:val="center"/>
          </w:tcPr>
          <w:p>
            <w:pPr>
              <w:pStyle w:val="TableContents"/>
              <w:bidi w:val="0"/>
              <w:spacing w:before="0" w:after="1"/>
              <w:ind w:left="0" w:right="0" w:hanging="0"/>
              <w:jc w:val="left"/>
              <w:rPr/>
            </w:pPr>
            <w:r>
              <w:rPr/>
              <w:t>​</w:t>
            </w:r>
          </w:p>
        </w:tc>
        <w:tc>
          <w:tcPr>
            <w:tcW w:w="329"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00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13,040</w:t>
            </w:r>
          </w:p>
        </w:tc>
      </w:tr>
      <w:tr>
        <w:trPr/>
        <w:tc>
          <w:tcPr>
            <w:tcW w:w="759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Additions charged to expense, net</w:t>
            </w:r>
          </w:p>
        </w:tc>
        <w:tc>
          <w:tcPr>
            <w:tcW w:w="346" w:type="dxa"/>
            <w:tcBorders/>
            <w:vAlign w:val="center"/>
          </w:tcPr>
          <w:p>
            <w:pPr>
              <w:pStyle w:val="TableContents"/>
              <w:bidi w:val="0"/>
              <w:spacing w:before="0" w:after="1"/>
              <w:ind w:left="0" w:right="0" w:hanging="0"/>
              <w:jc w:val="left"/>
              <w:rPr/>
            </w:pPr>
            <w:r>
              <w:rPr/>
              <w:t>​</w:t>
            </w:r>
          </w:p>
        </w:tc>
        <w:tc>
          <w:tcPr>
            <w:tcW w:w="329" w:type="dxa"/>
            <w:tcBorders/>
            <w:vAlign w:val="center"/>
          </w:tcPr>
          <w:p>
            <w:pPr>
              <w:pStyle w:val="TableContents"/>
              <w:bidi w:val="0"/>
              <w:spacing w:before="0" w:after="1"/>
              <w:ind w:left="0" w:right="0" w:hanging="0"/>
              <w:jc w:val="left"/>
              <w:rPr/>
            </w:pPr>
            <w:r>
              <w:rPr/>
              <w:t> </w:t>
            </w:r>
          </w:p>
        </w:tc>
        <w:tc>
          <w:tcPr>
            <w:tcW w:w="100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378</w:t>
            </w:r>
          </w:p>
        </w:tc>
      </w:tr>
      <w:tr>
        <w:trPr/>
        <w:tc>
          <w:tcPr>
            <w:tcW w:w="759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Payments, net</w:t>
            </w:r>
          </w:p>
        </w:tc>
        <w:tc>
          <w:tcPr>
            <w:tcW w:w="346" w:type="dxa"/>
            <w:tcBorders/>
            <w:shd w:fill="CCEEFF" w:val="clear"/>
            <w:vAlign w:val="center"/>
          </w:tcPr>
          <w:p>
            <w:pPr>
              <w:pStyle w:val="TableContents"/>
              <w:bidi w:val="0"/>
              <w:spacing w:before="0" w:after="1"/>
              <w:ind w:left="0" w:right="0" w:hanging="0"/>
              <w:jc w:val="left"/>
              <w:rPr/>
            </w:pPr>
            <w:r>
              <w:rPr/>
              <w:t>​</w:t>
            </w:r>
          </w:p>
        </w:tc>
        <w:tc>
          <w:tcPr>
            <w:tcW w:w="329"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100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(449)</w:t>
            </w:r>
          </w:p>
        </w:tc>
      </w:tr>
      <w:tr>
        <w:trPr/>
        <w:tc>
          <w:tcPr>
            <w:tcW w:w="759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Balance at the end of the period</w:t>
            </w:r>
          </w:p>
        </w:tc>
        <w:tc>
          <w:tcPr>
            <w:tcW w:w="346" w:type="dxa"/>
            <w:tcBorders/>
            <w:vAlign w:val="center"/>
          </w:tcPr>
          <w:p>
            <w:pPr>
              <w:pStyle w:val="TableContents"/>
              <w:bidi w:val="0"/>
              <w:spacing w:before="0" w:after="1"/>
              <w:ind w:left="0" w:right="0" w:hanging="0"/>
              <w:jc w:val="left"/>
              <w:rPr/>
            </w:pPr>
            <w:r>
              <w:rPr/>
              <w:t>​</w:t>
            </w:r>
          </w:p>
        </w:tc>
        <w:tc>
          <w:tcPr>
            <w:tcW w:w="329"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006"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12,969</w:t>
            </w:r>
          </w:p>
        </w:tc>
      </w:tr>
      <w:tr>
        <w:trPr/>
        <w:tc>
          <w:tcPr>
            <w:tcW w:w="7591"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329" w:type="dxa"/>
            <w:tcBorders/>
            <w:shd w:fill="CCEEFF" w:val="clear"/>
            <w:vAlign w:val="center"/>
          </w:tcPr>
          <w:p>
            <w:pPr>
              <w:pStyle w:val="TableContents"/>
              <w:bidi w:val="0"/>
              <w:spacing w:before="0" w:after="1"/>
              <w:ind w:left="0" w:right="0" w:hanging="0"/>
              <w:jc w:val="left"/>
              <w:rPr/>
            </w:pPr>
            <w:r>
              <w:rPr/>
              <w:t>​</w:t>
            </w:r>
          </w:p>
        </w:tc>
        <w:tc>
          <w:tcPr>
            <w:tcW w:w="1006" w:type="dxa"/>
            <w:tcBorders/>
            <w:shd w:fill="CCEEFF" w:val="clear"/>
            <w:vAlign w:val="center"/>
          </w:tcPr>
          <w:p>
            <w:pPr>
              <w:pStyle w:val="TableContents"/>
              <w:bidi w:val="0"/>
              <w:spacing w:before="0" w:after="1"/>
              <w:ind w:left="0" w:right="0" w:hanging="0"/>
              <w:jc w:val="right"/>
              <w:rPr/>
            </w:pPr>
            <w:r>
              <w:rPr/>
              <w:t>​</w:t>
            </w:r>
          </w:p>
        </w:tc>
      </w:tr>
      <w:tr>
        <w:trPr/>
        <w:tc>
          <w:tcPr>
            <w:tcW w:w="759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Amounts recognized in the Condensed Consolidated Balance Sheet at the end of the period:</w:t>
            </w:r>
          </w:p>
        </w:tc>
        <w:tc>
          <w:tcPr>
            <w:tcW w:w="346" w:type="dxa"/>
            <w:tcBorders/>
            <w:vAlign w:val="center"/>
          </w:tcPr>
          <w:p>
            <w:pPr>
              <w:pStyle w:val="TableContents"/>
              <w:bidi w:val="0"/>
              <w:spacing w:before="0" w:after="1"/>
              <w:ind w:left="0" w:right="0" w:hanging="0"/>
              <w:jc w:val="left"/>
              <w:rPr/>
            </w:pPr>
            <w:r>
              <w:rPr/>
              <w:t>​</w:t>
            </w:r>
          </w:p>
        </w:tc>
        <w:tc>
          <w:tcPr>
            <w:tcW w:w="329" w:type="dxa"/>
            <w:tcBorders/>
            <w:vAlign w:val="center"/>
          </w:tcPr>
          <w:p>
            <w:pPr>
              <w:pStyle w:val="TableContents"/>
              <w:bidi w:val="0"/>
              <w:spacing w:before="0" w:after="1"/>
              <w:ind w:left="0" w:right="0" w:hanging="0"/>
              <w:jc w:val="left"/>
              <w:rPr/>
            </w:pPr>
            <w:r>
              <w:rPr/>
              <w:t>​</w:t>
            </w:r>
          </w:p>
        </w:tc>
        <w:tc>
          <w:tcPr>
            <w:tcW w:w="1006" w:type="dxa"/>
            <w:tcBorders/>
            <w:vAlign w:val="center"/>
          </w:tcPr>
          <w:p>
            <w:pPr>
              <w:pStyle w:val="TableContents"/>
              <w:bidi w:val="0"/>
              <w:spacing w:before="0" w:after="1"/>
              <w:ind w:left="0" w:right="0" w:hanging="0"/>
              <w:jc w:val="right"/>
              <w:rPr/>
            </w:pPr>
            <w:r>
              <w:rPr/>
              <w:t>​</w:t>
            </w:r>
          </w:p>
        </w:tc>
      </w:tr>
      <w:tr>
        <w:trPr/>
        <w:tc>
          <w:tcPr>
            <w:tcW w:w="759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Current liability</w:t>
            </w:r>
          </w:p>
        </w:tc>
        <w:tc>
          <w:tcPr>
            <w:tcW w:w="346" w:type="dxa"/>
            <w:tcBorders/>
            <w:shd w:fill="CCEEFF" w:val="clear"/>
            <w:vAlign w:val="center"/>
          </w:tcPr>
          <w:p>
            <w:pPr>
              <w:pStyle w:val="TableContents"/>
              <w:bidi w:val="0"/>
              <w:spacing w:before="0" w:after="1"/>
              <w:ind w:left="0" w:right="0" w:hanging="0"/>
              <w:jc w:val="left"/>
              <w:rPr/>
            </w:pPr>
            <w:r>
              <w:rPr/>
              <w:t>​</w:t>
            </w:r>
          </w:p>
        </w:tc>
        <w:tc>
          <w:tcPr>
            <w:tcW w:w="329"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00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2,096</w:t>
            </w:r>
          </w:p>
        </w:tc>
      </w:tr>
      <w:tr>
        <w:trPr/>
        <w:tc>
          <w:tcPr>
            <w:tcW w:w="759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Noncurrent liability</w:t>
            </w:r>
          </w:p>
        </w:tc>
        <w:tc>
          <w:tcPr>
            <w:tcW w:w="346" w:type="dxa"/>
            <w:tcBorders/>
            <w:vAlign w:val="center"/>
          </w:tcPr>
          <w:p>
            <w:pPr>
              <w:pStyle w:val="TableContents"/>
              <w:bidi w:val="0"/>
              <w:spacing w:before="0" w:after="1"/>
              <w:ind w:left="0" w:right="0" w:hanging="0"/>
              <w:jc w:val="left"/>
              <w:rPr/>
            </w:pPr>
            <w:r>
              <w:rPr/>
              <w:t>​</w:t>
            </w:r>
          </w:p>
        </w:tc>
        <w:tc>
          <w:tcPr>
            <w:tcW w:w="329"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100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10,873</w:t>
            </w:r>
          </w:p>
        </w:tc>
      </w:tr>
      <w:tr>
        <w:trPr/>
        <w:tc>
          <w:tcPr>
            <w:tcW w:w="759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Balance at the end of the period</w:t>
            </w:r>
          </w:p>
        </w:tc>
        <w:tc>
          <w:tcPr>
            <w:tcW w:w="346" w:type="dxa"/>
            <w:tcBorders/>
            <w:shd w:fill="CCEEFF" w:val="clear"/>
            <w:vAlign w:val="center"/>
          </w:tcPr>
          <w:p>
            <w:pPr>
              <w:pStyle w:val="TableContents"/>
              <w:bidi w:val="0"/>
              <w:spacing w:before="0" w:after="1"/>
              <w:ind w:left="0" w:right="0" w:hanging="0"/>
              <w:jc w:val="left"/>
              <w:rPr/>
            </w:pPr>
            <w:r>
              <w:rPr/>
              <w:t>​</w:t>
            </w:r>
          </w:p>
        </w:tc>
        <w:tc>
          <w:tcPr>
            <w:tcW w:w="329"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 xml:space="preserve">$ </w:t>
            </w:r>
          </w:p>
        </w:tc>
        <w:tc>
          <w:tcPr>
            <w:tcW w:w="1006" w:type="dxa"/>
            <w:tcBorders>
              <w:bottom w:val="double" w:sz="6" w:space="0" w:color="000000"/>
            </w:tcBorders>
            <w:shd w:fill="CCEEFF" w:val="clear"/>
            <w:tcMar>
              <w:bottom w:w="28" w:type="dxa"/>
            </w:tcMar>
            <w:vAlign w:val="center"/>
          </w:tcPr>
          <w:p>
            <w:pPr>
              <w:pStyle w:val="TableContents"/>
              <w:bidi w:val="0"/>
              <w:spacing w:before="0" w:after="1"/>
              <w:ind w:left="0" w:right="60" w:hanging="0"/>
              <w:jc w:val="right"/>
              <w:rPr>
                <w:rFonts w:ascii="Times New Roman;Times;serif" w:hAnsi="Times New Roman;Times;serif"/>
                <w:sz w:val="20"/>
              </w:rPr>
            </w:pPr>
            <w:r>
              <w:rPr>
                <w:rFonts w:ascii="Times New Roman;Times;serif" w:hAnsi="Times New Roman;Times;serif"/>
                <w:sz w:val="20"/>
              </w:rPr>
              <w:t>12,969</w:t>
            </w:r>
          </w:p>
        </w:tc>
      </w:tr>
    </w:tbl>
    <w:p>
      <w:pPr>
        <w:pStyle w:val="TextBody"/>
        <w:bidi w:val="0"/>
        <w:spacing w:before="0" w:after="0"/>
        <w:ind w:left="0" w:right="0" w:hanging="0"/>
        <w:jc w:val="left"/>
        <w:rPr/>
      </w:pPr>
      <w:r>
        <w:rPr/>
        <w:t>​</w:t>
      </w:r>
    </w:p>
    <w:p>
      <w:pPr>
        <w:pStyle w:val="TextBody"/>
        <w:bidi w:val="0"/>
        <w:spacing w:before="240" w:after="240"/>
        <w:ind w:left="0" w:right="0" w:firstLine="720"/>
        <w:jc w:val="both"/>
        <w:rPr>
          <w:rFonts w:ascii="Times New Roman;Times;serif" w:hAnsi="Times New Roman;Times;serif"/>
          <w:sz w:val="20"/>
        </w:rPr>
      </w:pPr>
      <w:r>
        <w:rPr>
          <w:rFonts w:ascii="Times New Roman;Times;serif" w:hAnsi="Times New Roman;Times;serif"/>
          <w:sz w:val="20"/>
        </w:rPr>
        <w:t>On a quarterly basis, we evaluate the potential range of our liability for environmental remediation and related costs at sites where we have been named as a PRP or defendant, including sites for which our wholly-owned environmental management subsidiary, NL Environmental Management Services, Inc. (“EMS”), has contractually assumed our obligations. At March 31, 2026, we had accrued approximately $13 million related to approximately 27 sites associated with remediation and related matters we believe are at the present time and/or in their current phase reasonably estimable. The upper end of the range of reasonably possible costs to us for remediation and related matters for which we believe it is possible to estimate costs is approximately $38 million, including the amounts currently accrued. These accruals have not been discounted to present value.</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We believe it is not reasonably possible to estimate the range of costs for certain sites. At March 31, 2026, there were approximately five sites for which we are not currently able to reasonably estimate a range of costs. For these sites, generally the investigation is in the early stages, and we are unable to determine whether or not we actually had any association with the site, the nature of our responsibility, if any, for the contamination at the site, if any, and the extent of contamination at and cost to remediate the site. The timing and availability of information on these sites is dependent on events outside of our control, such as when the party alleging liability provides information to us. At certain of these previously inactive sites, we have received general and special notices of liability from the EPA and/or state agencies alleging that we, sometimes with other PRPs, are liable for past and future costs of remediating environmental contamination allegedly caused by former operations. These notifications may assert that we, along with any other alleged PRPs, are liable for past and/or future clean-up costs. As further information becomes available to us for any of these sites, which would allow us to estimate a range of costs, we would at that time adjust our accruals. Any such adjustment could result in the recognition of an accrual that would have a material effect on our Consolidated Financial Statements, results of operations and liquidity.</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Insurance coverage claims</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 xml:space="preserve">We are involved in certain legal proceedings with a number of our former insurance carriers regarding the nature and extent of the carriers’ obligations to us under insurance policies with respect to certain lead pigment and asbestos lawsuits. The issue of whether </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16</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insurance coverage for defense costs or indemnity or both will be found to exist for our lead pigment and asbestos litigation depends upon a variety of factors and we cannot assure you that such insurance coverage will be available.</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We have agreements with certain of our former insurance carriers pursuant to which the carriers reimburse us for a portion of our future lead pigment litigation defense costs, and one such carrier reimburses us for a portion of our future asbestos litigation defense costs. We are not able to determine how much we will ultimately recover from these carriers for defense costs incurred by us because of certain issues that arise regarding which defense costs qualify for reimbursement. While we continue to seek additional insurance recoveries, we do not know if we will be successful in obtaining reimbursement for either defense costs or indemnity. Accordingly, we recognize insurance recoveries in income only when receipt of the recovery is probable and we are able to reasonably estimate the amount of the recovery.</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For a complete discussion of certain litigation involving us and certain of our former insurance carriers, refer to our 2025 Annual Report.</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Other litigation</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In addition to the litigation described above, we and our affiliates are also involved in various other environmental, contractual, product liability, patent (or intellectual property), employment and other claims and disputes incidental to present and former businesses. In certain cases, we have insurance coverage for these items, although we do not expect additional material insurance coverage for environmental matters. We currently believe the disposition of all of these various other claims and disputes (including asbestos-related claims), individually and in the aggregate, should not have a material adverse effect on our consolidated financial position, results of operations or liquidity beyond the accruals already provided.</w:t>
      </w:r>
    </w:p>
    <w:p>
      <w:pPr>
        <w:pStyle w:val="TextBody"/>
        <w:bidi w:val="0"/>
        <w:spacing w:before="0" w:after="240"/>
        <w:ind w:left="0" w:right="0" w:hanging="0"/>
        <w:jc w:val="left"/>
        <w:rPr>
          <w:rFonts w:ascii="Times New Roman;Times;serif" w:hAnsi="Times New Roman;Times;serif"/>
          <w:b/>
          <w:sz w:val="20"/>
        </w:rPr>
      </w:pPr>
      <w:bookmarkStart w:id="808" w:name="Tc_yJKvHIE5F0irBErBXVD5Vw_5_11"/>
      <w:bookmarkStart w:id="809" w:name="Tc_-G0TDZnvx0a8Ija1bjpvHw_5_8"/>
      <w:bookmarkStart w:id="810" w:name="Tc_bqIrq9zcw0CC7cPDzCbHlw_5_5"/>
      <w:bookmarkStart w:id="811" w:name="Tc_FqyczmbvjkivnyzOSq88QA_5_2"/>
      <w:bookmarkStart w:id="812" w:name="Tc_J2c18C3R80C2rQdNHkrAtQ_5_0"/>
      <w:bookmarkStart w:id="813" w:name="Tc_l-QQaRmjTUWgtJjQl4p2-w_4_2"/>
      <w:bookmarkStart w:id="814" w:name="Tc_ZM40s6EkiUCpE9Wo7qwntA_3_11"/>
      <w:bookmarkStart w:id="815" w:name="Tc_9avlgVTkgUaGVue6qqw-Kw_3_8"/>
      <w:bookmarkStart w:id="816" w:name="Tc_4IufuBg5oEiTH-hSZVnbFA_3_5"/>
      <w:bookmarkStart w:id="817" w:name="Tc_mLVx3J3DXUmjt7r-WRUCNw_3_2"/>
      <w:bookmarkStart w:id="818" w:name="Tc_4lptAjoaH0uBluL9XOzugQ_2_11"/>
      <w:bookmarkStart w:id="819" w:name="Tc_IU7n1rCgY0GJnimc4Eji9w_2_8"/>
      <w:bookmarkStart w:id="820" w:name="Tc_FVfymtMKKUa3QK0o-Hw7Ig_2_5"/>
      <w:bookmarkStart w:id="821" w:name="Tc_gA_IYk4msU27bF7z9hi2CQ_2_2"/>
      <w:bookmarkStart w:id="822" w:name="Tc_-sGalvLXbUqjCkrq-rFeLA_1_8"/>
      <w:bookmarkStart w:id="823" w:name="Tc_5eIrNGbTh0aGm_hM4czWyA_1_2"/>
      <w:bookmarkEnd w:id="808"/>
      <w:bookmarkEnd w:id="809"/>
      <w:bookmarkEnd w:id="810"/>
      <w:bookmarkEnd w:id="811"/>
      <w:bookmarkEnd w:id="812"/>
      <w:bookmarkEnd w:id="813"/>
      <w:bookmarkEnd w:id="814"/>
      <w:bookmarkEnd w:id="815"/>
      <w:bookmarkEnd w:id="816"/>
      <w:bookmarkEnd w:id="817"/>
      <w:bookmarkEnd w:id="818"/>
      <w:bookmarkEnd w:id="819"/>
      <w:bookmarkEnd w:id="820"/>
      <w:bookmarkEnd w:id="821"/>
      <w:bookmarkEnd w:id="822"/>
      <w:bookmarkEnd w:id="823"/>
      <w:r>
        <w:rPr>
          <w:rFonts w:ascii="Times New Roman;Times;serif" w:hAnsi="Times New Roman;Times;serif"/>
          <w:b/>
          <w:sz w:val="20"/>
        </w:rPr>
        <w:t>Note 15 – Financial instruments: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See Note 5 for information on how we determine fair value of our marketable securities.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The following table presents the financial instruments that are not carried at fair value but which require fair value disclosure:</w:t>
      </w:r>
    </w:p>
    <w:p>
      <w:pPr>
        <w:pStyle w:val="TextBody"/>
        <w:bidi w:val="0"/>
        <w:spacing w:before="0" w:after="0"/>
        <w:ind w:left="0" w:right="0" w:hanging="0"/>
        <w:jc w:val="left"/>
        <w:rPr/>
      </w:pPr>
      <w:r>
        <w:rPr/>
        <w:t>​</w:t>
      </w:r>
    </w:p>
    <w:tbl>
      <w:tblPr>
        <w:tblW w:w="8968" w:type="dxa"/>
        <w:jc w:val="left"/>
        <w:tblInd w:w="0" w:type="dxa"/>
        <w:tblLayout w:type="fixed"/>
        <w:tblCellMar>
          <w:top w:w="0" w:type="dxa"/>
          <w:left w:w="0" w:type="dxa"/>
          <w:bottom w:w="0" w:type="dxa"/>
          <w:right w:w="0" w:type="dxa"/>
        </w:tblCellMar>
      </w:tblPr>
      <w:tblGrid>
        <w:gridCol w:w="3511"/>
        <w:gridCol w:w="346"/>
        <w:gridCol w:w="211"/>
        <w:gridCol w:w="781"/>
        <w:gridCol w:w="346"/>
        <w:gridCol w:w="211"/>
        <w:gridCol w:w="781"/>
        <w:gridCol w:w="346"/>
        <w:gridCol w:w="211"/>
        <w:gridCol w:w="781"/>
        <w:gridCol w:w="346"/>
        <w:gridCol w:w="211"/>
        <w:gridCol w:w="886"/>
      </w:tblGrid>
      <w:tr>
        <w:trPr/>
        <w:tc>
          <w:tcPr>
            <w:tcW w:w="35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9">
                      <wp:simplePos x="0" y="0"/>
                      <wp:positionH relativeFrom="character">
                        <wp:align>left</wp:align>
                      </wp:positionH>
                      <wp:positionV relativeFrom="line">
                        <wp:posOffset>635</wp:posOffset>
                      </wp:positionV>
                      <wp:extent cx="2229485" cy="175260"/>
                      <wp:effectExtent l="0" t="0" r="0" b="0"/>
                      <wp:wrapNone/>
                      <wp:docPr id="148" name="Frame148"/>
                      <a:graphic xmlns:a="http://schemas.openxmlformats.org/drawingml/2006/main">
                        <a:graphicData uri="http://schemas.microsoft.com/office/word/2010/wordprocessingShape">
                          <wps:wsp>
                            <wps:cNvSpPr txBox="1"/>
                            <wps:spPr>
                              <a:xfrm>
                                <a:off x="0" y="0"/>
                                <a:ext cx="22294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5.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0">
                      <wp:simplePos x="0" y="0"/>
                      <wp:positionH relativeFrom="character">
                        <wp:align>left</wp:align>
                      </wp:positionH>
                      <wp:positionV relativeFrom="line">
                        <wp:posOffset>635</wp:posOffset>
                      </wp:positionV>
                      <wp:extent cx="219710" cy="175260"/>
                      <wp:effectExtent l="0" t="0" r="0" b="0"/>
                      <wp:wrapNone/>
                      <wp:docPr id="149" name="Frame149"/>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1">
                      <wp:simplePos x="0" y="0"/>
                      <wp:positionH relativeFrom="character">
                        <wp:align>left</wp:align>
                      </wp:positionH>
                      <wp:positionV relativeFrom="line">
                        <wp:posOffset>635</wp:posOffset>
                      </wp:positionV>
                      <wp:extent cx="133985" cy="175260"/>
                      <wp:effectExtent l="0" t="0" r="0" b="0"/>
                      <wp:wrapNone/>
                      <wp:docPr id="150" name="Frame150"/>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2">
                      <wp:simplePos x="0" y="0"/>
                      <wp:positionH relativeFrom="character">
                        <wp:align>left</wp:align>
                      </wp:positionH>
                      <wp:positionV relativeFrom="line">
                        <wp:posOffset>635</wp:posOffset>
                      </wp:positionV>
                      <wp:extent cx="495935" cy="175260"/>
                      <wp:effectExtent l="0" t="0" r="0" b="0"/>
                      <wp:wrapNone/>
                      <wp:docPr id="151" name="Frame151"/>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3">
                      <wp:simplePos x="0" y="0"/>
                      <wp:positionH relativeFrom="character">
                        <wp:align>left</wp:align>
                      </wp:positionH>
                      <wp:positionV relativeFrom="line">
                        <wp:posOffset>635</wp:posOffset>
                      </wp:positionV>
                      <wp:extent cx="219710" cy="175260"/>
                      <wp:effectExtent l="0" t="0" r="0" b="0"/>
                      <wp:wrapNone/>
                      <wp:docPr id="152" name="Frame152"/>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4">
                      <wp:simplePos x="0" y="0"/>
                      <wp:positionH relativeFrom="character">
                        <wp:align>left</wp:align>
                      </wp:positionH>
                      <wp:positionV relativeFrom="line">
                        <wp:posOffset>635</wp:posOffset>
                      </wp:positionV>
                      <wp:extent cx="133985" cy="175260"/>
                      <wp:effectExtent l="0" t="0" r="0" b="0"/>
                      <wp:wrapNone/>
                      <wp:docPr id="153" name="Frame153"/>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5">
                      <wp:simplePos x="0" y="0"/>
                      <wp:positionH relativeFrom="character">
                        <wp:align>left</wp:align>
                      </wp:positionH>
                      <wp:positionV relativeFrom="line">
                        <wp:posOffset>635</wp:posOffset>
                      </wp:positionV>
                      <wp:extent cx="495935" cy="175260"/>
                      <wp:effectExtent l="0" t="0" r="0" b="0"/>
                      <wp:wrapNone/>
                      <wp:docPr id="154" name="Frame154"/>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6">
                      <wp:simplePos x="0" y="0"/>
                      <wp:positionH relativeFrom="character">
                        <wp:align>left</wp:align>
                      </wp:positionH>
                      <wp:positionV relativeFrom="line">
                        <wp:posOffset>635</wp:posOffset>
                      </wp:positionV>
                      <wp:extent cx="219710" cy="175260"/>
                      <wp:effectExtent l="0" t="0" r="0" b="0"/>
                      <wp:wrapNone/>
                      <wp:docPr id="155" name="Frame155"/>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7">
                      <wp:simplePos x="0" y="0"/>
                      <wp:positionH relativeFrom="character">
                        <wp:align>left</wp:align>
                      </wp:positionH>
                      <wp:positionV relativeFrom="line">
                        <wp:posOffset>635</wp:posOffset>
                      </wp:positionV>
                      <wp:extent cx="133985" cy="175260"/>
                      <wp:effectExtent l="0" t="0" r="0" b="0"/>
                      <wp:wrapNone/>
                      <wp:docPr id="156" name="Frame156"/>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8">
                      <wp:simplePos x="0" y="0"/>
                      <wp:positionH relativeFrom="character">
                        <wp:align>left</wp:align>
                      </wp:positionH>
                      <wp:positionV relativeFrom="line">
                        <wp:posOffset>635</wp:posOffset>
                      </wp:positionV>
                      <wp:extent cx="495935" cy="175260"/>
                      <wp:effectExtent l="0" t="0" r="0" b="0"/>
                      <wp:wrapNone/>
                      <wp:docPr id="157" name="Frame157"/>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9">
                      <wp:simplePos x="0" y="0"/>
                      <wp:positionH relativeFrom="character">
                        <wp:align>left</wp:align>
                      </wp:positionH>
                      <wp:positionV relativeFrom="line">
                        <wp:posOffset>635</wp:posOffset>
                      </wp:positionV>
                      <wp:extent cx="219710" cy="175260"/>
                      <wp:effectExtent l="0" t="0" r="0" b="0"/>
                      <wp:wrapNone/>
                      <wp:docPr id="158" name="Frame158"/>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0">
                      <wp:simplePos x="0" y="0"/>
                      <wp:positionH relativeFrom="character">
                        <wp:align>left</wp:align>
                      </wp:positionH>
                      <wp:positionV relativeFrom="line">
                        <wp:posOffset>635</wp:posOffset>
                      </wp:positionV>
                      <wp:extent cx="133985" cy="175260"/>
                      <wp:effectExtent l="0" t="0" r="0" b="0"/>
                      <wp:wrapNone/>
                      <wp:docPr id="159" name="Frame159"/>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1">
                      <wp:simplePos x="0" y="0"/>
                      <wp:positionH relativeFrom="character">
                        <wp:align>left</wp:align>
                      </wp:positionH>
                      <wp:positionV relativeFrom="line">
                        <wp:posOffset>635</wp:posOffset>
                      </wp:positionV>
                      <wp:extent cx="562610" cy="175260"/>
                      <wp:effectExtent l="0" t="0" r="0" b="0"/>
                      <wp:wrapNone/>
                      <wp:docPr id="160" name="Frame160"/>
                      <a:graphic xmlns:a="http://schemas.openxmlformats.org/drawingml/2006/main">
                        <a:graphicData uri="http://schemas.microsoft.com/office/word/2010/wordprocessingShape">
                          <wps:wsp>
                            <wps:cNvSpPr txBox="1"/>
                            <wps:spPr>
                              <a:xfrm>
                                <a:off x="0" y="0"/>
                                <a:ext cx="5626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51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330"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December 31, 2025</w:t>
            </w:r>
          </w:p>
        </w:tc>
        <w:tc>
          <w:tcPr>
            <w:tcW w:w="346" w:type="dxa"/>
            <w:tcBorders/>
            <w:vAlign w:val="center"/>
          </w:tcPr>
          <w:p>
            <w:pPr>
              <w:pStyle w:val="TableContents"/>
              <w:bidi w:val="0"/>
              <w:spacing w:before="0" w:after="0"/>
              <w:ind w:left="0" w:right="0" w:hanging="0"/>
              <w:jc w:val="left"/>
              <w:rPr/>
            </w:pPr>
            <w:r>
              <w:rPr/>
              <w:t>​</w:t>
            </w:r>
          </w:p>
        </w:tc>
        <w:tc>
          <w:tcPr>
            <w:tcW w:w="2435"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March 31, 2026</w:t>
            </w:r>
          </w:p>
        </w:tc>
      </w:tr>
      <w:tr>
        <w:trPr/>
        <w:tc>
          <w:tcPr>
            <w:tcW w:w="351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992" w:type="dxa"/>
            <w:gridSpan w:val="2"/>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Carrying</w:t>
            </w:r>
          </w:p>
        </w:tc>
        <w:tc>
          <w:tcPr>
            <w:tcW w:w="346" w:type="dxa"/>
            <w:tcBorders/>
            <w:vAlign w:val="center"/>
          </w:tcPr>
          <w:p>
            <w:pPr>
              <w:pStyle w:val="TableContents"/>
              <w:bidi w:val="0"/>
              <w:spacing w:before="0" w:after="0"/>
              <w:ind w:left="0" w:right="0" w:hanging="0"/>
              <w:jc w:val="left"/>
              <w:rPr/>
            </w:pPr>
            <w:r>
              <w:rPr/>
              <w:t>​</w:t>
            </w:r>
          </w:p>
        </w:tc>
        <w:tc>
          <w:tcPr>
            <w:tcW w:w="992" w:type="dxa"/>
            <w:gridSpan w:val="2"/>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Fair</w:t>
            </w:r>
          </w:p>
        </w:tc>
        <w:tc>
          <w:tcPr>
            <w:tcW w:w="346" w:type="dxa"/>
            <w:tcBorders/>
            <w:vAlign w:val="center"/>
          </w:tcPr>
          <w:p>
            <w:pPr>
              <w:pStyle w:val="TableContents"/>
              <w:bidi w:val="0"/>
              <w:spacing w:before="0" w:after="0"/>
              <w:ind w:left="0" w:right="0" w:hanging="0"/>
              <w:jc w:val="left"/>
              <w:rPr/>
            </w:pPr>
            <w:r>
              <w:rPr/>
              <w:t>​</w:t>
            </w:r>
          </w:p>
        </w:tc>
        <w:tc>
          <w:tcPr>
            <w:tcW w:w="992" w:type="dxa"/>
            <w:gridSpan w:val="2"/>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Carrying</w:t>
            </w:r>
          </w:p>
        </w:tc>
        <w:tc>
          <w:tcPr>
            <w:tcW w:w="346" w:type="dxa"/>
            <w:tcBorders/>
            <w:vAlign w:val="center"/>
          </w:tcPr>
          <w:p>
            <w:pPr>
              <w:pStyle w:val="TableContents"/>
              <w:bidi w:val="0"/>
              <w:spacing w:before="0" w:after="0"/>
              <w:ind w:left="0" w:right="0" w:hanging="0"/>
              <w:jc w:val="left"/>
              <w:rPr/>
            </w:pPr>
            <w:r>
              <w:rPr/>
              <w:t>​</w:t>
            </w:r>
          </w:p>
        </w:tc>
        <w:tc>
          <w:tcPr>
            <w:tcW w:w="1097" w:type="dxa"/>
            <w:gridSpan w:val="2"/>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Fair</w:t>
            </w:r>
          </w:p>
        </w:tc>
      </w:tr>
      <w:tr>
        <w:trPr/>
        <w:tc>
          <w:tcPr>
            <w:tcW w:w="351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 ​ ​</w:t>
            </w:r>
          </w:p>
        </w:tc>
        <w:tc>
          <w:tcPr>
            <w:tcW w:w="99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amount</w:t>
            </w:r>
          </w:p>
        </w:tc>
        <w:tc>
          <w:tcPr>
            <w:tcW w:w="346" w:type="dxa"/>
            <w:tcBorders/>
            <w:vAlign w:val="center"/>
          </w:tcPr>
          <w:p>
            <w:pPr>
              <w:pStyle w:val="TableContents"/>
              <w:bidi w:val="0"/>
              <w:spacing w:before="0" w:after="0"/>
              <w:ind w:left="0" w:right="0" w:hanging="0"/>
              <w:jc w:val="left"/>
              <w:rPr/>
            </w:pPr>
            <w:r>
              <w:rPr/>
              <w:t>  ​ ​ ​</w:t>
            </w:r>
          </w:p>
        </w:tc>
        <w:tc>
          <w:tcPr>
            <w:tcW w:w="99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value</w:t>
            </w:r>
          </w:p>
        </w:tc>
        <w:tc>
          <w:tcPr>
            <w:tcW w:w="346" w:type="dxa"/>
            <w:tcBorders/>
            <w:vAlign w:val="center"/>
          </w:tcPr>
          <w:p>
            <w:pPr>
              <w:pStyle w:val="TableContents"/>
              <w:bidi w:val="0"/>
              <w:spacing w:before="0" w:after="0"/>
              <w:ind w:left="0" w:right="0" w:hanging="0"/>
              <w:jc w:val="left"/>
              <w:rPr/>
            </w:pPr>
            <w:r>
              <w:rPr/>
              <w:t>  ​ ​ ​</w:t>
            </w:r>
          </w:p>
        </w:tc>
        <w:tc>
          <w:tcPr>
            <w:tcW w:w="99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amount</w:t>
            </w:r>
          </w:p>
        </w:tc>
        <w:tc>
          <w:tcPr>
            <w:tcW w:w="346" w:type="dxa"/>
            <w:tcBorders/>
            <w:vAlign w:val="center"/>
          </w:tcPr>
          <w:p>
            <w:pPr>
              <w:pStyle w:val="TableContents"/>
              <w:bidi w:val="0"/>
              <w:spacing w:before="0" w:after="0"/>
              <w:ind w:left="0" w:right="0" w:hanging="0"/>
              <w:jc w:val="left"/>
              <w:rPr/>
            </w:pPr>
            <w:r>
              <w:rPr/>
              <w:t>  ​ ​ ​</w:t>
            </w:r>
          </w:p>
        </w:tc>
        <w:tc>
          <w:tcPr>
            <w:tcW w:w="109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value</w:t>
            </w:r>
          </w:p>
        </w:tc>
      </w:tr>
      <w:tr>
        <w:trPr/>
        <w:tc>
          <w:tcPr>
            <w:tcW w:w="8968" w:type="dxa"/>
            <w:gridSpan w:val="13"/>
            <w:tcBorders/>
            <w:vAlign w:val="center"/>
          </w:tcPr>
          <w:p>
            <w:pPr>
              <w:pStyle w:val="TableContents"/>
              <w:bidi w:val="0"/>
              <w:spacing w:before="0" w:after="283"/>
              <w:ind w:left="0" w:right="0" w:hanging="0"/>
              <w:jc w:val="left"/>
              <w:rPr>
                <w:sz w:val="4"/>
                <w:szCs w:val="4"/>
              </w:rPr>
            </w:pPr>
            <w:r>
              <w:rPr>
                <w:sz w:val="4"/>
                <w:szCs w:val="4"/>
              </w:rPr>
            </w:r>
          </w:p>
        </w:tc>
      </w:tr>
      <w:tr>
        <w:trPr/>
        <w:tc>
          <w:tcPr>
            <w:tcW w:w="351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5111" w:type="dxa"/>
            <w:gridSpan w:val="11"/>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(In thousands)</w:t>
            </w:r>
          </w:p>
        </w:tc>
      </w:tr>
      <w:tr>
        <w:trPr/>
        <w:tc>
          <w:tcPr>
            <w:tcW w:w="35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Cash, cash equivalents and restricted cash</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114,053</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114,053</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105,351</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886" w:type="dxa"/>
            <w:tcBorders/>
            <w:shd w:fill="CCEEFF" w:val="cle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105,351</w:t>
            </w:r>
          </w:p>
        </w:tc>
      </w:tr>
    </w:tbl>
    <w:p>
      <w:pPr>
        <w:pStyle w:val="TextBody"/>
        <w:bidi w:val="0"/>
        <w:spacing w:before="0" w:after="0"/>
        <w:ind w:left="0" w:right="0" w:hanging="0"/>
        <w:jc w:val="left"/>
        <w:rPr/>
      </w:pPr>
      <w:r>
        <w:rPr/>
        <w:t>​</w:t>
      </w:r>
    </w:p>
    <w:p>
      <w:pPr>
        <w:pStyle w:val="TextBody"/>
        <w:bidi w:val="0"/>
        <w:spacing w:before="240" w:after="240"/>
        <w:ind w:left="0" w:right="0" w:firstLine="720"/>
        <w:jc w:val="both"/>
        <w:rPr>
          <w:rFonts w:ascii="Times New Roman;Times;serif" w:hAnsi="Times New Roman;Times;serif"/>
          <w:sz w:val="20"/>
        </w:rPr>
      </w:pPr>
      <w:r>
        <w:rPr>
          <w:rFonts w:ascii="Times New Roman;Times;serif" w:hAnsi="Times New Roman;Times;serif"/>
          <w:sz w:val="20"/>
        </w:rPr>
        <w:t>Due to their near-term maturities, the carrying amounts of accounts receivable and accounts payable are considered equivalent to fair value.</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b/>
          <w:sz w:val="20"/>
        </w:rPr>
        <w:t>Note 16</w:t>
      </w:r>
      <w:r>
        <w:rPr>
          <w:rFonts w:ascii="Times New Roman;Times;serif" w:hAnsi="Times New Roman;Times;serif"/>
          <w:sz w:val="20"/>
        </w:rPr>
        <w:t> – </w:t>
      </w:r>
      <w:r>
        <w:rPr>
          <w:rFonts w:ascii="Times New Roman;Times;serif" w:hAnsi="Times New Roman;Times;serif"/>
          <w:b/>
          <w:sz w:val="20"/>
        </w:rPr>
        <w:t>Recent Accounting Pronouncements: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 xml:space="preserve">In November 2024, the FASB issued ASU No. 2024-03, </w:t>
      </w:r>
      <w:r>
        <w:rPr>
          <w:rFonts w:ascii="Times New Roman;Times;serif" w:hAnsi="Times New Roman;Times;serif"/>
          <w:i/>
          <w:sz w:val="20"/>
        </w:rPr>
        <w:t>Reporting Comprehensive Income - Expense Disaggregation Disclosures</w:t>
      </w:r>
      <w:r>
        <w:rPr>
          <w:rFonts w:ascii="Times New Roman;Times;serif" w:hAnsi="Times New Roman;Times;serif"/>
          <w:sz w:val="20"/>
        </w:rPr>
        <w:t>. The ASU requires additional information about specific expense categories in the notes to financial statements for both interim and annual reporting periods. The ASU is effective for us beginning with our 2027 Annual Report, and for interim reporting, in the first quarter of 2028, with early adoption permitted. We are in the process of evaluating the additional disclosure requirements.</w:t>
      </w:r>
    </w:p>
    <w:p>
      <w:pPr>
        <w:pStyle w:val="TextBody"/>
        <w:bidi w:val="0"/>
        <w:spacing w:before="0" w:after="240"/>
        <w:ind w:left="0" w:right="0" w:firstLine="360"/>
        <w:jc w:val="both"/>
        <w:rPr/>
      </w:pPr>
      <w:r>
        <w:rPr/>
        <w:t>​</w:t>
      </w:r>
    </w:p>
    <w:p>
      <w:pPr>
        <w:pStyle w:val="TextBody"/>
        <w:bidi w:val="0"/>
        <w:spacing w:before="0" w:after="0"/>
        <w:ind w:left="0" w:right="0" w:hanging="0"/>
        <w:jc w:val="left"/>
        <w:rPr/>
      </w:pPr>
      <w:r>
        <w:rPr/>
        <w:t>​</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17</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Normal"/>
        <w:bidi w:val="0"/>
        <w:spacing w:before="0" w:after="0"/>
        <w:jc w:val="left"/>
        <w:rPr>
          <w:sz w:val="4"/>
          <w:szCs w:val="4"/>
        </w:rPr>
      </w:pPr>
      <w:r>
        <w:rPr>
          <w:sz w:val="4"/>
          <w:szCs w:val="4"/>
        </w:rPr>
      </w:r>
      <w:bookmarkStart w:id="824" w:name="ITEM2MANAGEMENTSDISCUSSIONANDANALYSISOFF"/>
      <w:bookmarkStart w:id="825" w:name="_6dae7eab_8dc8_4368_a09f_8fbbf5c80cf8"/>
      <w:bookmarkStart w:id="826" w:name="ITEM2MANAGEMENTSDISCUSSIONANDANALYSISOFF"/>
      <w:bookmarkStart w:id="827" w:name="_6dae7eab_8dc8_4368_a09f_8fbbf5c80cf8"/>
      <w:bookmarkEnd w:id="826"/>
      <w:bookmarkEnd w:id="827"/>
    </w:p>
    <w:tbl>
      <w:tblPr>
        <w:tblW w:w="10205" w:type="dxa"/>
        <w:jc w:val="left"/>
        <w:tblInd w:w="0" w:type="dxa"/>
        <w:tblLayout w:type="fixed"/>
        <w:tblCellMar>
          <w:top w:w="0" w:type="dxa"/>
          <w:left w:w="0" w:type="dxa"/>
          <w:bottom w:w="0" w:type="dxa"/>
          <w:right w:w="0" w:type="dxa"/>
        </w:tblCellMar>
      </w:tblPr>
      <w:tblGrid>
        <w:gridCol w:w="837"/>
        <w:gridCol w:w="9368"/>
      </w:tblGrid>
      <w:tr>
        <w:trPr/>
        <w:tc>
          <w:tcPr>
            <w:tcW w:w="837" w:type="dxa"/>
            <w:tcBorders/>
            <w:vAlign w:val="center"/>
          </w:tcPr>
          <w:p>
            <w:pPr>
              <w:pStyle w:val="TableContents"/>
              <w:bidi w:val="0"/>
              <w:spacing w:before="0" w:after="240"/>
              <w:jc w:val="left"/>
              <w:rPr>
                <w:rFonts w:ascii="Times New Roman;Times;serif" w:hAnsi="Times New Roman;Times;serif"/>
                <w:b/>
                <w:sz w:val="20"/>
              </w:rPr>
            </w:pPr>
            <w:r>
              <w:rPr>
                <w:rFonts w:ascii="Times New Roman;Times;serif" w:hAnsi="Times New Roman;Times;serif"/>
                <w:b/>
                <w:sz w:val="20"/>
              </w:rPr>
              <w:t>ITEM 2.</w:t>
            </w:r>
          </w:p>
        </w:tc>
        <w:tc>
          <w:tcPr>
            <w:tcW w:w="9368" w:type="dxa"/>
            <w:tcBorders/>
            <w:vAlign w:val="center"/>
          </w:tcPr>
          <w:p>
            <w:pPr>
              <w:pStyle w:val="TableContents"/>
              <w:bidi w:val="0"/>
              <w:spacing w:before="0" w:after="240"/>
              <w:jc w:val="left"/>
              <w:rPr>
                <w:rFonts w:ascii="Times New Roman;Times;serif" w:hAnsi="Times New Roman;Times;serif"/>
                <w:b/>
                <w:sz w:val="20"/>
              </w:rPr>
            </w:pPr>
            <w:r>
              <w:rPr>
                <w:rFonts w:ascii="Times New Roman;Times;serif" w:hAnsi="Times New Roman;Times;serif"/>
                <w:b/>
                <w:sz w:val="20"/>
              </w:rPr>
              <w:t>MANAGEMENT’S DISCUSSION AND ANALYSIS OF FINANCIAL CONDITION AND RESULTS OF OPERATIONS</w:t>
            </w:r>
          </w:p>
        </w:tc>
      </w:tr>
    </w:tbl>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RESULTS OF OPERATIONS</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Business overview</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We are primarily a holding company. We operate in the component products industry through our majority-owned subsidiary, CompX International Inc. We also own a non-controlling interest in Kronos Worldwide, Inc. Both CompX (NYSE American: CIX) and Kronos (NYSE: KRO) file periodic reports with the Securities and Exchange Commission (“SEC”).</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CompX is a leading manufacturer of engineered components utilized in a variety of applications and industries. Through its Security Products operations, CompX manufactures mechanical and electronic cabinet locks and other locking mechanisms used in postal, recreational transportation, office and institutional furniture, cabinetry, tool storage and healthcare applications. CompX also manufactures wake enhancement systems, stainless steel exhaust systems, custom metal fabricated parts, gauges, throttle controls, trim tabs and related hardware and accessories for the recreational marine and other industries through its Marine Components operations.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We account for our approximate 31% non-controlling interest in Kronos by the equity method. Kronos is a leading global producer and marketer of value-added titanium dioxide pigments (“TiO</w:t>
      </w:r>
      <w:r>
        <w:rPr>
          <w:rFonts w:ascii="Times New Roman;Times;serif" w:hAnsi="Times New Roman;Times;serif"/>
          <w:sz w:val="15"/>
        </w:rPr>
        <w:t>2</w:t>
      </w:r>
      <w:r>
        <w:rPr>
          <w:rFonts w:ascii="Times New Roman;Times;serif" w:hAnsi="Times New Roman;Times;serif"/>
          <w:sz w:val="20"/>
        </w:rPr>
        <w:t>”). TiO</w:t>
      </w:r>
      <w:r>
        <w:rPr>
          <w:rFonts w:ascii="Times New Roman;Times;serif" w:hAnsi="Times New Roman;Times;serif"/>
          <w:sz w:val="15"/>
        </w:rPr>
        <w:t>2</w:t>
      </w:r>
      <w:r>
        <w:rPr>
          <w:rFonts w:ascii="Times New Roman;Times;serif" w:hAnsi="Times New Roman;Times;serif"/>
          <w:sz w:val="20"/>
        </w:rPr>
        <w:t xml:space="preserve"> is used for a variety of manufacturing applications including paints, plastics, paper and other industrial and specialty products.</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Forward-looking information</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This report contains forward-looking statements within the meaning of the Private Securities Litigation Reform Act of 1995, as amended. Statements in this Quarterly Report on Form 10-Q that are not historical facts are forward-looking in nature and represent management’s beliefs and assumptions based on currently available information. Statements in this report including, but not limited to, statements found in Item 2 - “Management’s Discussion and Analysis of Financial Condition and Results of Operations,” are forward-looking statements that represent our management’s beliefs and assumptions based on currently available information. In some cases you can identify forward-looking statements by the use of words such as “believes,” “intends,” “may,” “should,” “could,” “anticipates,” “expects” or comparable terminology, or by discussions of strategies or trends. Although we believe the expectations reflected in forward-looking statements are reasonable, we do not know if these expectations will be correct. Such statements by their nature involve substantial risks and uncertainties that could significantly impact expected results. Actual future results could differ materially from those predicted. The factors that could cause our actual future results to differ materially from those described herein are the risks and uncertainties discussed in this Quarterly Report and those described from time to time in our other filings with the SEC including, but are not limited to, the following:</w:t>
      </w:r>
    </w:p>
    <w:tbl>
      <w:tblPr>
        <w:tblW w:w="4086" w:type="dxa"/>
        <w:jc w:val="left"/>
        <w:tblInd w:w="0" w:type="dxa"/>
        <w:tblLayout w:type="fixed"/>
        <w:tblCellMar>
          <w:top w:w="28" w:type="dxa"/>
          <w:left w:w="28" w:type="dxa"/>
          <w:bottom w:w="28" w:type="dxa"/>
          <w:right w:w="28" w:type="dxa"/>
        </w:tblCellMar>
      </w:tblPr>
      <w:tblGrid>
        <w:gridCol w:w="124"/>
        <w:gridCol w:w="256"/>
        <w:gridCol w:w="370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370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Future supply and demand for our products;</w:t>
            </w:r>
          </w:p>
        </w:tc>
      </w:tr>
    </w:tbl>
    <w:tbl>
      <w:tblPr>
        <w:tblW w:w="7776" w:type="dxa"/>
        <w:jc w:val="left"/>
        <w:tblInd w:w="0" w:type="dxa"/>
        <w:tblLayout w:type="fixed"/>
        <w:tblCellMar>
          <w:top w:w="28" w:type="dxa"/>
          <w:left w:w="28" w:type="dxa"/>
          <w:bottom w:w="28" w:type="dxa"/>
          <w:right w:w="28" w:type="dxa"/>
        </w:tblCellMar>
      </w:tblPr>
      <w:tblGrid>
        <w:gridCol w:w="124"/>
        <w:gridCol w:w="256"/>
        <w:gridCol w:w="739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739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Kronos’ ability to realize expected cost savings from strategic and operational initiatives;</w:t>
            </w:r>
          </w:p>
        </w:tc>
      </w:tr>
    </w:tbl>
    <w:tbl>
      <w:tblPr>
        <w:tblW w:w="9231" w:type="dxa"/>
        <w:jc w:val="left"/>
        <w:tblInd w:w="0" w:type="dxa"/>
        <w:tblLayout w:type="fixed"/>
        <w:tblCellMar>
          <w:top w:w="28" w:type="dxa"/>
          <w:left w:w="28" w:type="dxa"/>
          <w:bottom w:w="28" w:type="dxa"/>
          <w:right w:w="28" w:type="dxa"/>
        </w:tblCellMar>
      </w:tblPr>
      <w:tblGrid>
        <w:gridCol w:w="124"/>
        <w:gridCol w:w="256"/>
        <w:gridCol w:w="885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885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Kronos’ ability to integrate acquisitions into its operations and realize expected synergies and innovations;</w:t>
            </w:r>
          </w:p>
        </w:tc>
      </w:tr>
    </w:tbl>
    <w:tbl>
      <w:tblPr>
        <w:tblW w:w="7281" w:type="dxa"/>
        <w:jc w:val="left"/>
        <w:tblInd w:w="0" w:type="dxa"/>
        <w:tblLayout w:type="fixed"/>
        <w:tblCellMar>
          <w:top w:w="28" w:type="dxa"/>
          <w:left w:w="28" w:type="dxa"/>
          <w:bottom w:w="28" w:type="dxa"/>
          <w:right w:w="28" w:type="dxa"/>
        </w:tblCellMar>
      </w:tblPr>
      <w:tblGrid>
        <w:gridCol w:w="124"/>
        <w:gridCol w:w="256"/>
        <w:gridCol w:w="690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690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extent of the dependence of certain of our businesses on certain market sectors;</w:t>
            </w:r>
          </w:p>
        </w:tc>
      </w:tr>
    </w:tbl>
    <w:tbl>
      <w:tblPr>
        <w:tblW w:w="6021" w:type="dxa"/>
        <w:jc w:val="left"/>
        <w:tblInd w:w="0" w:type="dxa"/>
        <w:tblLayout w:type="fixed"/>
        <w:tblCellMar>
          <w:top w:w="28" w:type="dxa"/>
          <w:left w:w="28" w:type="dxa"/>
          <w:bottom w:w="28" w:type="dxa"/>
          <w:right w:w="28" w:type="dxa"/>
        </w:tblCellMar>
      </w:tblPr>
      <w:tblGrid>
        <w:gridCol w:w="124"/>
        <w:gridCol w:w="256"/>
        <w:gridCol w:w="564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5641" w:type="dxa"/>
            <w:tcBorders/>
            <w:tcMar>
              <w:top w:w="0" w:type="dxa"/>
              <w:left w:w="0" w:type="dxa"/>
              <w:bottom w:w="0" w:type="dxa"/>
              <w:right w:w="0" w:type="dxa"/>
            </w:tcMar>
            <w:vAlign w:val="center"/>
          </w:tcPr>
          <w:p>
            <w:pPr>
              <w:pStyle w:val="TableContents"/>
              <w:bidi w:val="0"/>
              <w:spacing w:before="0" w:after="283"/>
              <w:jc w:val="left"/>
              <w:rPr/>
            </w:pPr>
            <w:r>
              <w:rPr>
                <w:rFonts w:ascii="Times New Roman;Times;serif" w:hAnsi="Times New Roman;Times;serif"/>
                <w:b w:val="false"/>
                <w:i w:val="false"/>
                <w:caps w:val="false"/>
                <w:smallCaps w:val="false"/>
                <w:sz w:val="20"/>
              </w:rPr>
              <w:t>The cyclicality of our businesses (such as Kronos’ TiO</w:t>
            </w:r>
            <w:r>
              <w:rPr>
                <w:rFonts w:ascii="Times New Roman;Times;serif" w:hAnsi="Times New Roman;Times;serif"/>
                <w:b w:val="false"/>
                <w:i w:val="false"/>
                <w:caps w:val="false"/>
                <w:smallCaps w:val="false"/>
                <w:sz w:val="15"/>
              </w:rPr>
              <w:t xml:space="preserve">2 </w:t>
            </w:r>
            <w:r>
              <w:rPr>
                <w:rFonts w:ascii="Times New Roman;Times;serif" w:hAnsi="Times New Roman;Times;serif"/>
                <w:b w:val="false"/>
                <w:i w:val="false"/>
                <w:caps w:val="false"/>
                <w:smallCaps w:val="false"/>
                <w:sz w:val="20"/>
              </w:rPr>
              <w:t>operations);</w:t>
            </w:r>
          </w:p>
        </w:tc>
      </w:tr>
    </w:tbl>
    <w:tbl>
      <w:tblPr>
        <w:tblW w:w="3846" w:type="dxa"/>
        <w:jc w:val="left"/>
        <w:tblInd w:w="0" w:type="dxa"/>
        <w:tblLayout w:type="fixed"/>
        <w:tblCellMar>
          <w:top w:w="28" w:type="dxa"/>
          <w:left w:w="28" w:type="dxa"/>
          <w:bottom w:w="28" w:type="dxa"/>
          <w:right w:w="28" w:type="dxa"/>
        </w:tblCellMar>
      </w:tblPr>
      <w:tblGrid>
        <w:gridCol w:w="124"/>
        <w:gridCol w:w="256"/>
        <w:gridCol w:w="346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346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Customer and producer inventory levels;</w:t>
            </w:r>
          </w:p>
        </w:tc>
      </w:tr>
    </w:tbl>
    <w:tbl>
      <w:tblPr>
        <w:tblW w:w="8091" w:type="dxa"/>
        <w:jc w:val="left"/>
        <w:tblInd w:w="0" w:type="dxa"/>
        <w:tblLayout w:type="fixed"/>
        <w:tblCellMar>
          <w:top w:w="28" w:type="dxa"/>
          <w:left w:w="28" w:type="dxa"/>
          <w:bottom w:w="28" w:type="dxa"/>
          <w:right w:w="28" w:type="dxa"/>
        </w:tblCellMar>
      </w:tblPr>
      <w:tblGrid>
        <w:gridCol w:w="124"/>
        <w:gridCol w:w="256"/>
        <w:gridCol w:w="771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7711" w:type="dxa"/>
            <w:tcBorders/>
            <w:tcMar>
              <w:top w:w="0" w:type="dxa"/>
              <w:left w:w="0" w:type="dxa"/>
              <w:bottom w:w="0" w:type="dxa"/>
              <w:right w:w="0" w:type="dxa"/>
            </w:tcMar>
            <w:vAlign w:val="center"/>
          </w:tcPr>
          <w:p>
            <w:pPr>
              <w:pStyle w:val="TableContents"/>
              <w:bidi w:val="0"/>
              <w:spacing w:before="0" w:after="283"/>
              <w:jc w:val="left"/>
              <w:rPr/>
            </w:pPr>
            <w:r>
              <w:rPr>
                <w:rFonts w:ascii="Times New Roman;Times;serif" w:hAnsi="Times New Roman;Times;serif"/>
                <w:b w:val="false"/>
                <w:i w:val="false"/>
                <w:caps w:val="false"/>
                <w:smallCaps w:val="false"/>
                <w:sz w:val="20"/>
              </w:rPr>
              <w:t>Unexpected or earlier-than-expected industry capacity expansion (such as the TiO</w:t>
            </w:r>
            <w:r>
              <w:rPr>
                <w:rFonts w:ascii="Times New Roman;Times;serif" w:hAnsi="Times New Roman;Times;serif"/>
                <w:b w:val="false"/>
                <w:i w:val="false"/>
                <w:caps w:val="false"/>
                <w:smallCaps w:val="false"/>
                <w:sz w:val="15"/>
              </w:rPr>
              <w:t xml:space="preserve">2 </w:t>
            </w:r>
            <w:r>
              <w:rPr>
                <w:rFonts w:ascii="Times New Roman;Times;serif" w:hAnsi="Times New Roman;Times;serif"/>
                <w:b w:val="false"/>
                <w:i w:val="false"/>
                <w:caps w:val="false"/>
                <w:smallCaps w:val="false"/>
                <w:sz w:val="20"/>
              </w:rPr>
              <w:t>industry);</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Changes in raw material and other operating costs (such as energy, ore, zinc, aluminum, steel and brass costs) or the implementation of tariffs on imported raw materials and our ability to pass those costs on to our customers or offset them with reductions in other operating costs;</w:t>
            </w:r>
          </w:p>
        </w:tc>
      </w:tr>
    </w:tbl>
    <w:tbl>
      <w:tblPr>
        <w:tblW w:w="5166" w:type="dxa"/>
        <w:jc w:val="left"/>
        <w:tblInd w:w="0" w:type="dxa"/>
        <w:tblLayout w:type="fixed"/>
        <w:tblCellMar>
          <w:top w:w="28" w:type="dxa"/>
          <w:left w:w="28" w:type="dxa"/>
          <w:bottom w:w="28" w:type="dxa"/>
          <w:right w:w="28" w:type="dxa"/>
        </w:tblCellMar>
      </w:tblPr>
      <w:tblGrid>
        <w:gridCol w:w="124"/>
        <w:gridCol w:w="256"/>
        <w:gridCol w:w="478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478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Changes in the availability of raw materials (such as ore);</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pPr>
            <w:r>
              <w:rPr>
                <w:rFonts w:ascii="Times New Roman;Times;serif" w:hAnsi="Times New Roman;Times;serif"/>
                <w:b w:val="false"/>
                <w:i w:val="false"/>
                <w:caps w:val="false"/>
                <w:smallCaps w:val="false"/>
                <w:sz w:val="20"/>
              </w:rPr>
              <w:t>General global economic and political conditions that harm the worldwide economy, disrupt our supply chain, increase material and energy costs or reduce demand or perceived demand for TiO</w:t>
            </w:r>
            <w:r>
              <w:rPr>
                <w:rFonts w:ascii="Times New Roman;Times;serif" w:hAnsi="Times New Roman;Times;serif"/>
                <w:b w:val="false"/>
                <w:i w:val="false"/>
                <w:caps w:val="false"/>
                <w:smallCaps w:val="false"/>
                <w:sz w:val="15"/>
              </w:rPr>
              <w:t>2</w:t>
            </w:r>
            <w:r>
              <w:rPr>
                <w:caps w:val="false"/>
                <w:smallCaps w:val="false"/>
              </w:rPr>
              <w:t xml:space="preserve"> </w:t>
            </w:r>
            <w:r>
              <w:rPr>
                <w:rFonts w:ascii="Times New Roman;Times;serif" w:hAnsi="Times New Roman;Times;serif"/>
                <w:b w:val="false"/>
                <w:i w:val="false"/>
                <w:caps w:val="false"/>
                <w:smallCaps w:val="false"/>
                <w:sz w:val="20"/>
              </w:rPr>
              <w:t>and our products or impair our ability to operate our facilities (including changes in the level of gross domestic product in various regions of the world, tariffs, natural disasters, terrorist acts, global conflicts and public health crises);</w:t>
            </w:r>
          </w:p>
        </w:tc>
      </w:tr>
    </w:tbl>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18</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Operating interruptions (including, but not limited to, labor disputes, leaks, natural disasters, fires, explosions, unscheduled or unplanned downtime, transportation interruptions, certain regional and world events or economic conditions and public health crises);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Technology related disruptions (including, but not limited to, cyber-attacks; software implementation, upgrades, or improvements; technology processing failures; or other events) related to our technology infrastructure (including manufacturing and accounting systems) that could impact our ability to continue operations, or at key vendors which could impact our supply chain, or at key customers which could impact their operations and cause them to curtail or pause orders;</w:t>
            </w:r>
          </w:p>
        </w:tc>
      </w:tr>
    </w:tbl>
    <w:tbl>
      <w:tblPr>
        <w:tblW w:w="4296" w:type="dxa"/>
        <w:jc w:val="left"/>
        <w:tblInd w:w="0" w:type="dxa"/>
        <w:tblLayout w:type="fixed"/>
        <w:tblCellMar>
          <w:top w:w="28" w:type="dxa"/>
          <w:left w:w="28" w:type="dxa"/>
          <w:bottom w:w="28" w:type="dxa"/>
          <w:right w:w="28" w:type="dxa"/>
        </w:tblCellMar>
      </w:tblPr>
      <w:tblGrid>
        <w:gridCol w:w="124"/>
        <w:gridCol w:w="256"/>
        <w:gridCol w:w="391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391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Competitive products and substitute products;</w:t>
            </w:r>
          </w:p>
        </w:tc>
      </w:tr>
    </w:tbl>
    <w:tbl>
      <w:tblPr>
        <w:tblW w:w="9591" w:type="dxa"/>
        <w:jc w:val="left"/>
        <w:tblInd w:w="0" w:type="dxa"/>
        <w:tblLayout w:type="fixed"/>
        <w:tblCellMar>
          <w:top w:w="28" w:type="dxa"/>
          <w:left w:w="28" w:type="dxa"/>
          <w:bottom w:w="28" w:type="dxa"/>
          <w:right w:w="28" w:type="dxa"/>
        </w:tblCellMar>
      </w:tblPr>
      <w:tblGrid>
        <w:gridCol w:w="124"/>
        <w:gridCol w:w="256"/>
        <w:gridCol w:w="921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21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Competition from Chinese suppliers with less stringent regulatory and environmental compliance requirements;</w:t>
            </w:r>
          </w:p>
        </w:tc>
      </w:tr>
    </w:tbl>
    <w:tbl>
      <w:tblPr>
        <w:tblW w:w="3456" w:type="dxa"/>
        <w:jc w:val="left"/>
        <w:tblInd w:w="0" w:type="dxa"/>
        <w:tblLayout w:type="fixed"/>
        <w:tblCellMar>
          <w:top w:w="28" w:type="dxa"/>
          <w:left w:w="28" w:type="dxa"/>
          <w:bottom w:w="28" w:type="dxa"/>
          <w:right w:w="28" w:type="dxa"/>
        </w:tblCellMar>
      </w:tblPr>
      <w:tblGrid>
        <w:gridCol w:w="124"/>
        <w:gridCol w:w="256"/>
        <w:gridCol w:w="307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307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Customer and competitor strategies;</w:t>
            </w:r>
          </w:p>
        </w:tc>
      </w:tr>
    </w:tbl>
    <w:tbl>
      <w:tblPr>
        <w:tblW w:w="3396" w:type="dxa"/>
        <w:jc w:val="left"/>
        <w:tblInd w:w="0" w:type="dxa"/>
        <w:tblLayout w:type="fixed"/>
        <w:tblCellMar>
          <w:top w:w="28" w:type="dxa"/>
          <w:left w:w="28" w:type="dxa"/>
          <w:bottom w:w="28" w:type="dxa"/>
          <w:right w:w="28" w:type="dxa"/>
        </w:tblCellMar>
      </w:tblPr>
      <w:tblGrid>
        <w:gridCol w:w="124"/>
        <w:gridCol w:w="256"/>
        <w:gridCol w:w="301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301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ability to retain key customers;</w:t>
            </w:r>
          </w:p>
        </w:tc>
      </w:tr>
    </w:tbl>
    <w:tbl>
      <w:tblPr>
        <w:tblW w:w="4401" w:type="dxa"/>
        <w:jc w:val="left"/>
        <w:tblInd w:w="0" w:type="dxa"/>
        <w:tblLayout w:type="fixed"/>
        <w:tblCellMar>
          <w:top w:w="28" w:type="dxa"/>
          <w:left w:w="28" w:type="dxa"/>
          <w:bottom w:w="28" w:type="dxa"/>
          <w:right w:w="28" w:type="dxa"/>
        </w:tblCellMar>
      </w:tblPr>
      <w:tblGrid>
        <w:gridCol w:w="124"/>
        <w:gridCol w:w="256"/>
        <w:gridCol w:w="402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402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Potential consolidation of Kronos’ competitors;</w:t>
            </w:r>
          </w:p>
        </w:tc>
      </w:tr>
    </w:tbl>
    <w:tbl>
      <w:tblPr>
        <w:tblW w:w="4251" w:type="dxa"/>
        <w:jc w:val="left"/>
        <w:tblInd w:w="0" w:type="dxa"/>
        <w:tblLayout w:type="fixed"/>
        <w:tblCellMar>
          <w:top w:w="28" w:type="dxa"/>
          <w:left w:w="28" w:type="dxa"/>
          <w:bottom w:w="28" w:type="dxa"/>
          <w:right w:w="28" w:type="dxa"/>
        </w:tblCellMar>
      </w:tblPr>
      <w:tblGrid>
        <w:gridCol w:w="124"/>
        <w:gridCol w:w="256"/>
        <w:gridCol w:w="387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387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Potential consolidation of Kronos’ customers;</w:t>
            </w:r>
          </w:p>
        </w:tc>
      </w:tr>
    </w:tbl>
    <w:tbl>
      <w:tblPr>
        <w:tblW w:w="4446" w:type="dxa"/>
        <w:jc w:val="left"/>
        <w:tblInd w:w="0" w:type="dxa"/>
        <w:tblLayout w:type="fixed"/>
        <w:tblCellMar>
          <w:top w:w="28" w:type="dxa"/>
          <w:left w:w="28" w:type="dxa"/>
          <w:bottom w:w="28" w:type="dxa"/>
          <w:right w:w="28" w:type="dxa"/>
        </w:tblCellMar>
      </w:tblPr>
      <w:tblGrid>
        <w:gridCol w:w="124"/>
        <w:gridCol w:w="256"/>
        <w:gridCol w:w="406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406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impact of pricing and production decisions;</w:t>
            </w:r>
          </w:p>
        </w:tc>
      </w:tr>
    </w:tbl>
    <w:tbl>
      <w:tblPr>
        <w:tblW w:w="3381" w:type="dxa"/>
        <w:jc w:val="left"/>
        <w:tblInd w:w="0" w:type="dxa"/>
        <w:tblLayout w:type="fixed"/>
        <w:tblCellMar>
          <w:top w:w="28" w:type="dxa"/>
          <w:left w:w="28" w:type="dxa"/>
          <w:bottom w:w="28" w:type="dxa"/>
          <w:right w:w="28" w:type="dxa"/>
        </w:tblCellMar>
      </w:tblPr>
      <w:tblGrid>
        <w:gridCol w:w="124"/>
        <w:gridCol w:w="256"/>
        <w:gridCol w:w="300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300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Competitive technology positions;</w:t>
            </w:r>
          </w:p>
        </w:tc>
      </w:tr>
    </w:tbl>
    <w:tbl>
      <w:tblPr>
        <w:tblW w:w="5331" w:type="dxa"/>
        <w:jc w:val="left"/>
        <w:tblInd w:w="0" w:type="dxa"/>
        <w:tblLayout w:type="fixed"/>
        <w:tblCellMar>
          <w:top w:w="28" w:type="dxa"/>
          <w:left w:w="28" w:type="dxa"/>
          <w:bottom w:w="28" w:type="dxa"/>
          <w:right w:w="28" w:type="dxa"/>
        </w:tblCellMar>
      </w:tblPr>
      <w:tblGrid>
        <w:gridCol w:w="124"/>
        <w:gridCol w:w="256"/>
        <w:gridCol w:w="495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495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ability to protect or defend intellectual property rights;</w:t>
            </w:r>
          </w:p>
        </w:tc>
      </w:tr>
    </w:tbl>
    <w:tbl>
      <w:tblPr>
        <w:tblW w:w="4971" w:type="dxa"/>
        <w:jc w:val="left"/>
        <w:tblInd w:w="0" w:type="dxa"/>
        <w:tblLayout w:type="fixed"/>
        <w:tblCellMar>
          <w:top w:w="28" w:type="dxa"/>
          <w:left w:w="28" w:type="dxa"/>
          <w:bottom w:w="28" w:type="dxa"/>
          <w:right w:w="28" w:type="dxa"/>
        </w:tblCellMar>
      </w:tblPr>
      <w:tblGrid>
        <w:gridCol w:w="124"/>
        <w:gridCol w:w="256"/>
        <w:gridCol w:w="459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459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Potential difficulties in integrating future acquisitions;</w:t>
            </w:r>
          </w:p>
        </w:tc>
      </w:tr>
    </w:tbl>
    <w:tbl>
      <w:tblPr>
        <w:tblW w:w="7506" w:type="dxa"/>
        <w:jc w:val="left"/>
        <w:tblInd w:w="0" w:type="dxa"/>
        <w:tblLayout w:type="fixed"/>
        <w:tblCellMar>
          <w:top w:w="28" w:type="dxa"/>
          <w:left w:w="28" w:type="dxa"/>
          <w:bottom w:w="28" w:type="dxa"/>
          <w:right w:w="28" w:type="dxa"/>
        </w:tblCellMar>
      </w:tblPr>
      <w:tblGrid>
        <w:gridCol w:w="124"/>
        <w:gridCol w:w="256"/>
        <w:gridCol w:w="712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712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introduction of new, or changes in existing, tariffs, trade barriers or trade disputes;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Fluctuations in currency exchange rates (such as changes in the exchange rate between the U.S. dollar and each of the euro, the Norwegian krone and the Canadian dollar and between the euro and the Norwegian krone), or possible disruptions to our business resulting from uncertainties associated with the euro or other currencies;</w:t>
            </w:r>
          </w:p>
        </w:tc>
      </w:tr>
    </w:tbl>
    <w:tbl>
      <w:tblPr>
        <w:tblW w:w="6891" w:type="dxa"/>
        <w:jc w:val="left"/>
        <w:tblInd w:w="0" w:type="dxa"/>
        <w:tblLayout w:type="fixed"/>
        <w:tblCellMar>
          <w:top w:w="28" w:type="dxa"/>
          <w:left w:w="28" w:type="dxa"/>
          <w:bottom w:w="28" w:type="dxa"/>
          <w:right w:w="28" w:type="dxa"/>
        </w:tblCellMar>
      </w:tblPr>
      <w:tblGrid>
        <w:gridCol w:w="124"/>
        <w:gridCol w:w="256"/>
        <w:gridCol w:w="651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651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Decisions to sell operating assets other than in the ordinary course of business;</w:t>
            </w:r>
          </w:p>
        </w:tc>
      </w:tr>
    </w:tbl>
    <w:tbl>
      <w:tblPr>
        <w:tblW w:w="7926" w:type="dxa"/>
        <w:jc w:val="left"/>
        <w:tblInd w:w="0" w:type="dxa"/>
        <w:tblLayout w:type="fixed"/>
        <w:tblCellMar>
          <w:top w:w="28" w:type="dxa"/>
          <w:left w:w="28" w:type="dxa"/>
          <w:bottom w:w="28" w:type="dxa"/>
          <w:right w:w="28" w:type="dxa"/>
        </w:tblCellMar>
      </w:tblPr>
      <w:tblGrid>
        <w:gridCol w:w="124"/>
        <w:gridCol w:w="256"/>
        <w:gridCol w:w="754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754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Kronos’ ability to renew or refinance credit facilities or other debt instruments in the future;</w:t>
            </w:r>
          </w:p>
        </w:tc>
      </w:tr>
    </w:tbl>
    <w:tbl>
      <w:tblPr>
        <w:tblW w:w="2571" w:type="dxa"/>
        <w:jc w:val="left"/>
        <w:tblInd w:w="0" w:type="dxa"/>
        <w:tblLayout w:type="fixed"/>
        <w:tblCellMar>
          <w:top w:w="28" w:type="dxa"/>
          <w:left w:w="28" w:type="dxa"/>
          <w:bottom w:w="28" w:type="dxa"/>
          <w:right w:w="28" w:type="dxa"/>
        </w:tblCellMar>
      </w:tblPr>
      <w:tblGrid>
        <w:gridCol w:w="124"/>
        <w:gridCol w:w="256"/>
        <w:gridCol w:w="219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219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Changes in interest rates;</w:t>
            </w:r>
          </w:p>
        </w:tc>
      </w:tr>
    </w:tbl>
    <w:tbl>
      <w:tblPr>
        <w:tblW w:w="7701" w:type="dxa"/>
        <w:jc w:val="left"/>
        <w:tblInd w:w="0" w:type="dxa"/>
        <w:tblLayout w:type="fixed"/>
        <w:tblCellMar>
          <w:top w:w="28" w:type="dxa"/>
          <w:left w:w="28" w:type="dxa"/>
          <w:bottom w:w="28" w:type="dxa"/>
          <w:right w:w="28" w:type="dxa"/>
        </w:tblCellMar>
      </w:tblPr>
      <w:tblGrid>
        <w:gridCol w:w="124"/>
        <w:gridCol w:w="256"/>
        <w:gridCol w:w="732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732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Kronos’ ability to comply with covenants contained in its revolving bank credit facility;</w:t>
            </w:r>
          </w:p>
        </w:tc>
      </w:tr>
    </w:tbl>
    <w:tbl>
      <w:tblPr>
        <w:tblW w:w="4026" w:type="dxa"/>
        <w:jc w:val="left"/>
        <w:tblInd w:w="0" w:type="dxa"/>
        <w:tblLayout w:type="fixed"/>
        <w:tblCellMar>
          <w:top w:w="28" w:type="dxa"/>
          <w:left w:w="28" w:type="dxa"/>
          <w:bottom w:w="28" w:type="dxa"/>
          <w:right w:w="28" w:type="dxa"/>
        </w:tblCellMar>
      </w:tblPr>
      <w:tblGrid>
        <w:gridCol w:w="124"/>
        <w:gridCol w:w="256"/>
        <w:gridCol w:w="364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364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ability to maintain sufficient liquidity;</w:t>
            </w:r>
          </w:p>
        </w:tc>
      </w:tr>
    </w:tbl>
    <w:tbl>
      <w:tblPr>
        <w:tblW w:w="4476" w:type="dxa"/>
        <w:jc w:val="left"/>
        <w:tblInd w:w="0" w:type="dxa"/>
        <w:tblLayout w:type="fixed"/>
        <w:tblCellMar>
          <w:top w:w="28" w:type="dxa"/>
          <w:left w:w="28" w:type="dxa"/>
          <w:bottom w:w="28" w:type="dxa"/>
          <w:right w:w="28" w:type="dxa"/>
        </w:tblCellMar>
      </w:tblPr>
      <w:tblGrid>
        <w:gridCol w:w="124"/>
        <w:gridCol w:w="256"/>
        <w:gridCol w:w="409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409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timing and amounts of insurance recoveries;</w:t>
            </w:r>
          </w:p>
        </w:tc>
      </w:tr>
    </w:tbl>
    <w:tbl>
      <w:tblPr>
        <w:tblW w:w="5616" w:type="dxa"/>
        <w:jc w:val="left"/>
        <w:tblInd w:w="0" w:type="dxa"/>
        <w:tblLayout w:type="fixed"/>
        <w:tblCellMar>
          <w:top w:w="28" w:type="dxa"/>
          <w:left w:w="28" w:type="dxa"/>
          <w:bottom w:w="28" w:type="dxa"/>
          <w:right w:w="28" w:type="dxa"/>
        </w:tblCellMar>
      </w:tblPr>
      <w:tblGrid>
        <w:gridCol w:w="124"/>
        <w:gridCol w:w="256"/>
        <w:gridCol w:w="523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523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ability of our subsidiaries or affiliates to pay us dividends;</w:t>
            </w:r>
          </w:p>
        </w:tc>
      </w:tr>
    </w:tbl>
    <w:tbl>
      <w:tblPr>
        <w:tblW w:w="7911" w:type="dxa"/>
        <w:jc w:val="left"/>
        <w:tblInd w:w="0" w:type="dxa"/>
        <w:tblLayout w:type="fixed"/>
        <w:tblCellMar>
          <w:top w:w="28" w:type="dxa"/>
          <w:left w:w="28" w:type="dxa"/>
          <w:bottom w:w="28" w:type="dxa"/>
          <w:right w:w="28" w:type="dxa"/>
        </w:tblCellMar>
      </w:tblPr>
      <w:tblGrid>
        <w:gridCol w:w="124"/>
        <w:gridCol w:w="256"/>
        <w:gridCol w:w="753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753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Uncertainties associated with CompX’s development of new products and product features;</w:t>
            </w:r>
          </w:p>
        </w:tc>
      </w:tr>
    </w:tbl>
    <w:tbl>
      <w:tblPr>
        <w:tblW w:w="10056" w:type="dxa"/>
        <w:jc w:val="left"/>
        <w:tblInd w:w="0" w:type="dxa"/>
        <w:tblLayout w:type="fixed"/>
        <w:tblCellMar>
          <w:top w:w="28" w:type="dxa"/>
          <w:left w:w="28" w:type="dxa"/>
          <w:bottom w:w="28" w:type="dxa"/>
          <w:right w:w="28" w:type="dxa"/>
        </w:tblCellMar>
      </w:tblPr>
      <w:tblGrid>
        <w:gridCol w:w="124"/>
        <w:gridCol w:w="256"/>
        <w:gridCol w:w="967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67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ultimate outcome of income tax audits, tax settlement initiatives or other tax matters, including future tax reform;</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ability to utilize income tax attributes or changes in income tax rates related to such attributes, the benefits of which may or may not have been recognized under the more-likely-than-not recognition criteria;</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Environmental matters (such as those requiring compliance with emission and discharge standards for existing and new facilities or new developments regarding environmental remediation or decommissioning obligations at sites related to our former operations);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pPr>
            <w:r>
              <w:rPr>
                <w:rFonts w:ascii="Times New Roman;Times;serif" w:hAnsi="Times New Roman;Times;serif"/>
                <w:b w:val="false"/>
                <w:i w:val="false"/>
                <w:caps w:val="false"/>
                <w:smallCaps w:val="false"/>
                <w:sz w:val="20"/>
              </w:rPr>
              <w:t>Government laws and regulations and possible changes therein (such as changes in government regulations which might impose various obligations on former manufacturers of lead pigment and lead-based paint, including us, with respect to asserted health concerns associated with the use of such products), including new environmental, sustainability, health and safety or other regulations (such as those seeking to limit or classify TiO</w:t>
            </w:r>
            <w:r>
              <w:rPr>
                <w:rFonts w:ascii="Times New Roman;Times;serif" w:hAnsi="Times New Roman;Times;serif"/>
                <w:b w:val="false"/>
                <w:i w:val="false"/>
                <w:caps w:val="false"/>
                <w:smallCaps w:val="false"/>
                <w:sz w:val="15"/>
              </w:rPr>
              <w:t>2</w:t>
            </w:r>
            <w:r>
              <w:rPr>
                <w:caps w:val="false"/>
                <w:smallCaps w:val="false"/>
              </w:rPr>
              <w:t xml:space="preserve"> </w:t>
            </w:r>
            <w:r>
              <w:rPr>
                <w:rFonts w:ascii="Times New Roman;Times;serif" w:hAnsi="Times New Roman;Times;serif"/>
                <w:b w:val="false"/>
                <w:i w:val="false"/>
                <w:caps w:val="false"/>
                <w:smallCaps w:val="false"/>
                <w:sz w:val="20"/>
              </w:rPr>
              <w:t>or its use);</w:t>
            </w:r>
          </w:p>
        </w:tc>
      </w:tr>
    </w:tbl>
    <w:tbl>
      <w:tblPr>
        <w:tblW w:w="8961" w:type="dxa"/>
        <w:jc w:val="left"/>
        <w:tblInd w:w="0" w:type="dxa"/>
        <w:tblLayout w:type="fixed"/>
        <w:tblCellMar>
          <w:top w:w="28" w:type="dxa"/>
          <w:left w:w="28" w:type="dxa"/>
          <w:bottom w:w="28" w:type="dxa"/>
          <w:right w:w="28" w:type="dxa"/>
        </w:tblCellMar>
      </w:tblPr>
      <w:tblGrid>
        <w:gridCol w:w="124"/>
        <w:gridCol w:w="256"/>
        <w:gridCol w:w="858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858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ultimate resolution of pending litigation (such as our lead pigment and environmental matters); and</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Pending or possible future litigation (such as litigation related to CompX’s use of certain permitted chemicals in its productions process) or other actions.</w:t>
            </w:r>
          </w:p>
        </w:tc>
      </w:tr>
    </w:tbl>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19</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Should one or more of these risks materialize (or if the consequences of such a development worsen), or should the underlying assumptions prove incorrect, actual results could differ materially from those currently forecasted or expected. We disclaim any intention or obligation to update or revise any forward-looking statement whether as a result of changes in information, future events or otherwise.</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Results of operations</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Net income overview</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Quarter ended March 31, 2026 compared to the quarter ended March 31, 2025</w:t>
      </w:r>
    </w:p>
    <w:p>
      <w:pPr>
        <w:pStyle w:val="TextBody"/>
        <w:bidi w:val="0"/>
        <w:spacing w:before="120" w:after="0"/>
        <w:ind w:left="0" w:right="0" w:firstLine="720"/>
        <w:jc w:val="both"/>
        <w:rPr>
          <w:rFonts w:ascii="Times New Roman;Times;serif" w:hAnsi="Times New Roman;Times;serif"/>
          <w:sz w:val="20"/>
        </w:rPr>
      </w:pPr>
      <w:r>
        <w:rPr>
          <w:rFonts w:ascii="Times New Roman;Times;serif" w:hAnsi="Times New Roman;Times;serif"/>
          <w:sz w:val="20"/>
        </w:rPr>
        <w:t>Our net income attributable to NL stockholders was $4.3 million, or $0.9 per share, in the first quarter of 2026 compared to $.7 million, or $.01 per share, in the first quarter of 2025. As more fully described below, the increase in our net income attributable to NL stockholders from 2025 to 2026 is primarily due to the net effects of:</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 unrealized gain in the relative value of marketable equity securities of $2.7 million in 2026 compared to an unrealized loss of $8.5 million in 2025;</w:t>
            </w:r>
          </w:p>
        </w:tc>
      </w:tr>
    </w:tbl>
    <w:tbl>
      <w:tblPr>
        <w:tblW w:w="9471" w:type="dxa"/>
        <w:jc w:val="left"/>
        <w:tblInd w:w="0" w:type="dxa"/>
        <w:tblLayout w:type="fixed"/>
        <w:tblCellMar>
          <w:top w:w="28" w:type="dxa"/>
          <w:left w:w="28" w:type="dxa"/>
          <w:bottom w:w="28" w:type="dxa"/>
          <w:right w:w="28" w:type="dxa"/>
        </w:tblCellMar>
      </w:tblPr>
      <w:tblGrid>
        <w:gridCol w:w="124"/>
        <w:gridCol w:w="256"/>
        <w:gridCol w:w="909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09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equity in losses of Kronos of $1.5 million in 2026 compared to equity in earnings of $5.5 million in 2025; and</w:t>
            </w:r>
          </w:p>
        </w:tc>
      </w:tr>
    </w:tbl>
    <w:tbl>
      <w:tblPr>
        <w:tblW w:w="7701" w:type="dxa"/>
        <w:jc w:val="left"/>
        <w:tblInd w:w="0" w:type="dxa"/>
        <w:tblLayout w:type="fixed"/>
        <w:tblCellMar>
          <w:top w:w="28" w:type="dxa"/>
          <w:left w:w="28" w:type="dxa"/>
          <w:bottom w:w="28" w:type="dxa"/>
          <w:right w:w="28" w:type="dxa"/>
        </w:tblCellMar>
      </w:tblPr>
      <w:tblGrid>
        <w:gridCol w:w="124"/>
        <w:gridCol w:w="256"/>
        <w:gridCol w:w="732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732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higher CompX segment profit of $7.1 million in 2026 compared to $5.9 million in 2025.</w:t>
            </w:r>
          </w:p>
        </w:tc>
      </w:tr>
    </w:tbl>
    <w:p>
      <w:pPr>
        <w:pStyle w:val="TextBody"/>
        <w:bidi w:val="0"/>
        <w:spacing w:before="240" w:after="240"/>
        <w:ind w:left="0" w:right="0" w:hanging="0"/>
        <w:jc w:val="left"/>
        <w:rPr>
          <w:rFonts w:ascii="Times New Roman;Times;serif" w:hAnsi="Times New Roman;Times;serif"/>
          <w:b/>
          <w:i/>
          <w:sz w:val="20"/>
        </w:rPr>
      </w:pPr>
      <w:r>
        <w:rPr>
          <w:rFonts w:ascii="Times New Roman;Times;serif" w:hAnsi="Times New Roman;Times;serif"/>
          <w:b/>
          <w:i/>
          <w:sz w:val="20"/>
        </w:rPr>
        <w:t>Income from operations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The following table shows the components of our income from operations.</w:t>
      </w:r>
    </w:p>
    <w:tbl>
      <w:tblPr>
        <w:tblW w:w="5613" w:type="dxa"/>
        <w:jc w:val="left"/>
        <w:tblInd w:w="0" w:type="dxa"/>
        <w:tblLayout w:type="fixed"/>
        <w:tblCellMar>
          <w:top w:w="0" w:type="dxa"/>
          <w:left w:w="0" w:type="dxa"/>
          <w:bottom w:w="0" w:type="dxa"/>
          <w:right w:w="0" w:type="dxa"/>
        </w:tblCellMar>
      </w:tblPr>
      <w:tblGrid>
        <w:gridCol w:w="2041"/>
        <w:gridCol w:w="346"/>
        <w:gridCol w:w="221"/>
        <w:gridCol w:w="504"/>
        <w:gridCol w:w="363"/>
        <w:gridCol w:w="221"/>
        <w:gridCol w:w="504"/>
        <w:gridCol w:w="346"/>
        <w:gridCol w:w="751"/>
        <w:gridCol w:w="316"/>
      </w:tblGrid>
      <w:tr>
        <w:trPr/>
        <w:tc>
          <w:tcPr>
            <w:tcW w:w="20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2">
                      <wp:simplePos x="0" y="0"/>
                      <wp:positionH relativeFrom="character">
                        <wp:align>left</wp:align>
                      </wp:positionH>
                      <wp:positionV relativeFrom="line">
                        <wp:posOffset>635</wp:posOffset>
                      </wp:positionV>
                      <wp:extent cx="1296035" cy="175260"/>
                      <wp:effectExtent l="0" t="0" r="0" b="0"/>
                      <wp:wrapNone/>
                      <wp:docPr id="161" name="Frame161"/>
                      <a:graphic xmlns:a="http://schemas.openxmlformats.org/drawingml/2006/main">
                        <a:graphicData uri="http://schemas.microsoft.com/office/word/2010/wordprocessingShape">
                          <wps:wsp>
                            <wps:cNvSpPr txBox="1"/>
                            <wps:spPr>
                              <a:xfrm>
                                <a:off x="0" y="0"/>
                                <a:ext cx="12960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2.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3">
                      <wp:simplePos x="0" y="0"/>
                      <wp:positionH relativeFrom="character">
                        <wp:align>left</wp:align>
                      </wp:positionH>
                      <wp:positionV relativeFrom="line">
                        <wp:posOffset>635</wp:posOffset>
                      </wp:positionV>
                      <wp:extent cx="219710" cy="175260"/>
                      <wp:effectExtent l="0" t="0" r="0" b="0"/>
                      <wp:wrapNone/>
                      <wp:docPr id="162" name="Frame162"/>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4">
                      <wp:simplePos x="0" y="0"/>
                      <wp:positionH relativeFrom="character">
                        <wp:align>left</wp:align>
                      </wp:positionH>
                      <wp:positionV relativeFrom="line">
                        <wp:posOffset>635</wp:posOffset>
                      </wp:positionV>
                      <wp:extent cx="140335" cy="175260"/>
                      <wp:effectExtent l="0" t="0" r="0" b="0"/>
                      <wp:wrapNone/>
                      <wp:docPr id="163" name="Frame163"/>
                      <a:graphic xmlns:a="http://schemas.openxmlformats.org/drawingml/2006/main">
                        <a:graphicData uri="http://schemas.microsoft.com/office/word/2010/wordprocessingShape">
                          <wps:wsp>
                            <wps:cNvSpPr txBox="1"/>
                            <wps:spPr>
                              <a:xfrm>
                                <a:off x="0" y="0"/>
                                <a:ext cx="1403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50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5">
                      <wp:simplePos x="0" y="0"/>
                      <wp:positionH relativeFrom="character">
                        <wp:align>left</wp:align>
                      </wp:positionH>
                      <wp:positionV relativeFrom="line">
                        <wp:posOffset>635</wp:posOffset>
                      </wp:positionV>
                      <wp:extent cx="320040" cy="175260"/>
                      <wp:effectExtent l="0" t="0" r="0" b="0"/>
                      <wp:wrapNone/>
                      <wp:docPr id="164" name="Frame164"/>
                      <a:graphic xmlns:a="http://schemas.openxmlformats.org/drawingml/2006/main">
                        <a:graphicData uri="http://schemas.microsoft.com/office/word/2010/wordprocessingShape">
                          <wps:wsp>
                            <wps:cNvSpPr txBox="1"/>
                            <wps:spPr>
                              <a:xfrm>
                                <a:off x="0" y="0"/>
                                <a:ext cx="32004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5.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6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6">
                      <wp:simplePos x="0" y="0"/>
                      <wp:positionH relativeFrom="character">
                        <wp:align>left</wp:align>
                      </wp:positionH>
                      <wp:positionV relativeFrom="line">
                        <wp:posOffset>635</wp:posOffset>
                      </wp:positionV>
                      <wp:extent cx="230505" cy="175260"/>
                      <wp:effectExtent l="0" t="0" r="0" b="0"/>
                      <wp:wrapNone/>
                      <wp:docPr id="165" name="Frame165"/>
                      <a:graphic xmlns:a="http://schemas.openxmlformats.org/drawingml/2006/main">
                        <a:graphicData uri="http://schemas.microsoft.com/office/word/2010/wordprocessingShape">
                          <wps:wsp>
                            <wps:cNvSpPr txBox="1"/>
                            <wps:spPr>
                              <a:xfrm>
                                <a:off x="0" y="0"/>
                                <a:ext cx="23050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7">
                      <wp:simplePos x="0" y="0"/>
                      <wp:positionH relativeFrom="character">
                        <wp:align>left</wp:align>
                      </wp:positionH>
                      <wp:positionV relativeFrom="line">
                        <wp:posOffset>635</wp:posOffset>
                      </wp:positionV>
                      <wp:extent cx="140335" cy="175260"/>
                      <wp:effectExtent l="0" t="0" r="0" b="0"/>
                      <wp:wrapNone/>
                      <wp:docPr id="166" name="Frame166"/>
                      <a:graphic xmlns:a="http://schemas.openxmlformats.org/drawingml/2006/main">
                        <a:graphicData uri="http://schemas.microsoft.com/office/word/2010/wordprocessingShape">
                          <wps:wsp>
                            <wps:cNvSpPr txBox="1"/>
                            <wps:spPr>
                              <a:xfrm>
                                <a:off x="0" y="0"/>
                                <a:ext cx="1403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50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8">
                      <wp:simplePos x="0" y="0"/>
                      <wp:positionH relativeFrom="character">
                        <wp:align>left</wp:align>
                      </wp:positionH>
                      <wp:positionV relativeFrom="line">
                        <wp:posOffset>635</wp:posOffset>
                      </wp:positionV>
                      <wp:extent cx="320040" cy="175260"/>
                      <wp:effectExtent l="0" t="0" r="0" b="0"/>
                      <wp:wrapNone/>
                      <wp:docPr id="167" name="Frame167"/>
                      <a:graphic xmlns:a="http://schemas.openxmlformats.org/drawingml/2006/main">
                        <a:graphicData uri="http://schemas.microsoft.com/office/word/2010/wordprocessingShape">
                          <wps:wsp>
                            <wps:cNvSpPr txBox="1"/>
                            <wps:spPr>
                              <a:xfrm>
                                <a:off x="0" y="0"/>
                                <a:ext cx="32004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5.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9">
                      <wp:simplePos x="0" y="0"/>
                      <wp:positionH relativeFrom="character">
                        <wp:align>left</wp:align>
                      </wp:positionH>
                      <wp:positionV relativeFrom="line">
                        <wp:posOffset>635</wp:posOffset>
                      </wp:positionV>
                      <wp:extent cx="219710" cy="175260"/>
                      <wp:effectExtent l="0" t="0" r="0" b="0"/>
                      <wp:wrapNone/>
                      <wp:docPr id="168" name="Frame168"/>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5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0">
                      <wp:simplePos x="0" y="0"/>
                      <wp:positionH relativeFrom="character">
                        <wp:align>left</wp:align>
                      </wp:positionH>
                      <wp:positionV relativeFrom="line">
                        <wp:posOffset>635</wp:posOffset>
                      </wp:positionV>
                      <wp:extent cx="476885" cy="175260"/>
                      <wp:effectExtent l="0" t="0" r="0" b="0"/>
                      <wp:wrapNone/>
                      <wp:docPr id="169" name="Frame169"/>
                      <a:graphic xmlns:a="http://schemas.openxmlformats.org/drawingml/2006/main">
                        <a:graphicData uri="http://schemas.microsoft.com/office/word/2010/wordprocessingShape">
                          <wps:wsp>
                            <wps:cNvSpPr txBox="1"/>
                            <wps:spPr>
                              <a:xfrm>
                                <a:off x="0" y="0"/>
                                <a:ext cx="4768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7.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1">
                      <wp:simplePos x="0" y="0"/>
                      <wp:positionH relativeFrom="character">
                        <wp:align>left</wp:align>
                      </wp:positionH>
                      <wp:positionV relativeFrom="line">
                        <wp:posOffset>635</wp:posOffset>
                      </wp:positionV>
                      <wp:extent cx="200660" cy="175260"/>
                      <wp:effectExtent l="0" t="0" r="0" b="0"/>
                      <wp:wrapNone/>
                      <wp:docPr id="170" name="Frame170"/>
                      <a:graphic xmlns:a="http://schemas.openxmlformats.org/drawingml/2006/main">
                        <a:graphicData uri="http://schemas.microsoft.com/office/word/2010/wordprocessingShape">
                          <wps:wsp>
                            <wps:cNvSpPr txBox="1"/>
                            <wps:spPr>
                              <a:xfrm>
                                <a:off x="0" y="0"/>
                                <a:ext cx="2006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204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1813"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Three months ended</w:t>
              <w:br/>
              <w:t>March 31,</w:t>
            </w:r>
          </w:p>
        </w:tc>
        <w:tc>
          <w:tcPr>
            <w:tcW w:w="346" w:type="dxa"/>
            <w:tcBorders/>
            <w:vAlign w:val="center"/>
          </w:tcPr>
          <w:p>
            <w:pPr>
              <w:pStyle w:val="TableContents"/>
              <w:bidi w:val="0"/>
              <w:spacing w:before="0" w:after="1"/>
              <w:ind w:left="0" w:right="0" w:hanging="0"/>
              <w:jc w:val="center"/>
              <w:rPr/>
            </w:pPr>
            <w:r>
              <w:rPr/>
              <w:t>  ​ ​ ​</w:t>
            </w:r>
          </w:p>
        </w:tc>
        <w:tc>
          <w:tcPr>
            <w:tcW w:w="751" w:type="dxa"/>
            <w:tcBorders/>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w:t>
            </w:r>
          </w:p>
        </w:tc>
        <w:tc>
          <w:tcPr>
            <w:tcW w:w="316" w:type="dxa"/>
            <w:tcBorders/>
            <w:vAlign w:val="center"/>
          </w:tcPr>
          <w:p>
            <w:pPr>
              <w:pStyle w:val="TableContents"/>
              <w:bidi w:val="0"/>
              <w:spacing w:before="0" w:after="1"/>
              <w:ind w:left="0" w:right="0" w:hanging="0"/>
              <w:jc w:val="left"/>
              <w:rPr/>
            </w:pPr>
            <w:r>
              <w:rPr/>
              <w:t>​</w:t>
            </w:r>
          </w:p>
        </w:tc>
      </w:tr>
      <w:tr>
        <w:trPr/>
        <w:tc>
          <w:tcPr>
            <w:tcW w:w="204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  ​ ​ ​</w:t>
            </w:r>
          </w:p>
        </w:tc>
        <w:tc>
          <w:tcPr>
            <w:tcW w:w="725"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2025</w:t>
            </w:r>
          </w:p>
        </w:tc>
        <w:tc>
          <w:tcPr>
            <w:tcW w:w="363" w:type="dxa"/>
            <w:tcBorders/>
            <w:vAlign w:val="center"/>
          </w:tcPr>
          <w:p>
            <w:pPr>
              <w:pStyle w:val="TableContents"/>
              <w:bidi w:val="0"/>
              <w:spacing w:before="0" w:after="1"/>
              <w:ind w:left="0" w:right="0" w:hanging="0"/>
              <w:jc w:val="center"/>
              <w:rPr/>
            </w:pPr>
            <w:r>
              <w:rPr/>
              <w:t>  ​ ​ ​</w:t>
            </w:r>
          </w:p>
        </w:tc>
        <w:tc>
          <w:tcPr>
            <w:tcW w:w="725"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2026</w:t>
            </w:r>
          </w:p>
        </w:tc>
        <w:tc>
          <w:tcPr>
            <w:tcW w:w="346" w:type="dxa"/>
            <w:tcBorders/>
            <w:vAlign w:val="center"/>
          </w:tcPr>
          <w:p>
            <w:pPr>
              <w:pStyle w:val="TableContents"/>
              <w:bidi w:val="0"/>
              <w:spacing w:before="0" w:after="1"/>
              <w:ind w:left="0" w:right="0" w:hanging="0"/>
              <w:jc w:val="center"/>
              <w:rPr/>
            </w:pPr>
            <w:r>
              <w:rPr/>
              <w:t>  ​ ​ ​</w:t>
            </w:r>
          </w:p>
        </w:tc>
        <w:tc>
          <w:tcPr>
            <w:tcW w:w="751"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Change</w:t>
            </w:r>
          </w:p>
        </w:tc>
        <w:tc>
          <w:tcPr>
            <w:tcW w:w="316" w:type="dxa"/>
            <w:tcBorders/>
            <w:vAlign w:val="center"/>
          </w:tcPr>
          <w:p>
            <w:pPr>
              <w:pStyle w:val="TableContents"/>
              <w:bidi w:val="0"/>
              <w:spacing w:before="0" w:after="1"/>
              <w:ind w:left="0" w:right="0" w:hanging="0"/>
              <w:jc w:val="left"/>
              <w:rPr/>
            </w:pPr>
            <w:r>
              <w:rPr/>
              <w:t>​</w:t>
            </w:r>
          </w:p>
        </w:tc>
      </w:tr>
      <w:tr>
        <w:trPr/>
        <w:tc>
          <w:tcPr>
            <w:tcW w:w="5613" w:type="dxa"/>
            <w:gridSpan w:val="10"/>
            <w:tcBorders/>
            <w:vAlign w:val="center"/>
          </w:tcPr>
          <w:p>
            <w:pPr>
              <w:pStyle w:val="TableContents"/>
              <w:bidi w:val="0"/>
              <w:spacing w:before="0" w:after="283"/>
              <w:ind w:left="0" w:right="0" w:hanging="0"/>
              <w:jc w:val="left"/>
              <w:rPr>
                <w:sz w:val="4"/>
                <w:szCs w:val="4"/>
              </w:rPr>
            </w:pPr>
            <w:r>
              <w:rPr>
                <w:sz w:val="4"/>
                <w:szCs w:val="4"/>
              </w:rPr>
            </w:r>
          </w:p>
        </w:tc>
      </w:tr>
      <w:tr>
        <w:trPr/>
        <w:tc>
          <w:tcPr>
            <w:tcW w:w="204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1813" w:type="dxa"/>
            <w:gridSpan w:val="5"/>
            <w:tcBorders/>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(In millions)</w:t>
            </w:r>
          </w:p>
        </w:tc>
        <w:tc>
          <w:tcPr>
            <w:tcW w:w="346" w:type="dxa"/>
            <w:tcBorders/>
            <w:vAlign w:val="center"/>
          </w:tcPr>
          <w:p>
            <w:pPr>
              <w:pStyle w:val="TableContents"/>
              <w:bidi w:val="0"/>
              <w:spacing w:before="0" w:after="1"/>
              <w:ind w:left="0" w:right="0" w:hanging="0"/>
              <w:jc w:val="left"/>
              <w:rPr/>
            </w:pPr>
            <w:r>
              <w:rPr/>
              <w:t>​</w:t>
            </w:r>
          </w:p>
        </w:tc>
        <w:tc>
          <w:tcPr>
            <w:tcW w:w="751" w:type="dxa"/>
            <w:tcBorders/>
            <w:vAlign w:val="center"/>
          </w:tcPr>
          <w:p>
            <w:pPr>
              <w:pStyle w:val="TableContents"/>
              <w:bidi w:val="0"/>
              <w:spacing w:before="0" w:after="1"/>
              <w:ind w:left="0" w:right="0" w:hanging="0"/>
              <w:jc w:val="left"/>
              <w:rPr/>
            </w:pPr>
            <w:r>
              <w:rPr/>
              <w:t>​</w:t>
            </w:r>
          </w:p>
        </w:tc>
        <w:tc>
          <w:tcPr>
            <w:tcW w:w="316" w:type="dxa"/>
            <w:tcBorders/>
            <w:vAlign w:val="center"/>
          </w:tcPr>
          <w:p>
            <w:pPr>
              <w:pStyle w:val="TableContents"/>
              <w:bidi w:val="0"/>
              <w:spacing w:before="0" w:after="1"/>
              <w:ind w:left="0" w:right="0" w:hanging="0"/>
              <w:jc w:val="left"/>
              <w:rPr/>
            </w:pPr>
            <w:r>
              <w:rPr/>
              <w:t>​</w:t>
            </w:r>
          </w:p>
        </w:tc>
      </w:tr>
      <w:tr>
        <w:trPr/>
        <w:tc>
          <w:tcPr>
            <w:tcW w:w="204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CompX segment profit</w:t>
            </w:r>
          </w:p>
        </w:tc>
        <w:tc>
          <w:tcPr>
            <w:tcW w:w="346" w:type="dxa"/>
            <w:tcBorders/>
            <w:shd w:fill="CCEEFF" w:val="clear"/>
            <w:vAlign w:val="center"/>
          </w:tcPr>
          <w:p>
            <w:pPr>
              <w:pStyle w:val="TableContents"/>
              <w:bidi w:val="0"/>
              <w:spacing w:before="0" w:after="1"/>
              <w:ind w:left="0" w:right="0" w:hanging="0"/>
              <w:jc w:val="left"/>
              <w:rPr/>
            </w:pPr>
            <w:r>
              <w:rPr/>
              <w:t>​</w:t>
            </w:r>
          </w:p>
        </w:tc>
        <w:tc>
          <w:tcPr>
            <w:tcW w:w="22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504"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5.9</w:t>
            </w:r>
          </w:p>
        </w:tc>
        <w:tc>
          <w:tcPr>
            <w:tcW w:w="363" w:type="dxa"/>
            <w:tcBorders/>
            <w:shd w:fill="CCEEFF" w:val="clear"/>
            <w:vAlign w:val="center"/>
          </w:tcPr>
          <w:p>
            <w:pPr>
              <w:pStyle w:val="TableContents"/>
              <w:bidi w:val="0"/>
              <w:spacing w:before="0" w:after="1"/>
              <w:ind w:left="0" w:right="0" w:hanging="0"/>
              <w:jc w:val="left"/>
              <w:rPr/>
            </w:pPr>
            <w:r>
              <w:rPr/>
              <w:t>​</w:t>
            </w:r>
          </w:p>
        </w:tc>
        <w:tc>
          <w:tcPr>
            <w:tcW w:w="221" w:type="dxa"/>
            <w:tcBorders/>
            <w:shd w:fill="CCEEFF" w:val="cle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w:t>
            </w:r>
          </w:p>
        </w:tc>
        <w:tc>
          <w:tcPr>
            <w:tcW w:w="504" w:type="dxa"/>
            <w:tcBorders/>
            <w:shd w:fill="CCEEFF" w:val="cle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7.1</w:t>
            </w:r>
          </w:p>
        </w:tc>
        <w:tc>
          <w:tcPr>
            <w:tcW w:w="346" w:type="dxa"/>
            <w:tcBorders/>
            <w:shd w:fill="CCEEFF" w:val="clear"/>
            <w:vAlign w:val="center"/>
          </w:tcPr>
          <w:p>
            <w:pPr>
              <w:pStyle w:val="TableContents"/>
              <w:bidi w:val="0"/>
              <w:spacing w:before="0" w:after="1"/>
              <w:ind w:left="0" w:right="0" w:hanging="0"/>
              <w:jc w:val="left"/>
              <w:rPr/>
            </w:pPr>
            <w:r>
              <w:rPr/>
              <w:t> </w:t>
            </w:r>
          </w:p>
        </w:tc>
        <w:tc>
          <w:tcPr>
            <w:tcW w:w="75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20</w:t>
            </w:r>
          </w:p>
        </w:tc>
        <w:tc>
          <w:tcPr>
            <w:tcW w:w="31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204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Corporate expense</w:t>
            </w:r>
          </w:p>
        </w:tc>
        <w:tc>
          <w:tcPr>
            <w:tcW w:w="346" w:type="dxa"/>
            <w:tcBorders/>
            <w:vAlign w:val="center"/>
          </w:tcPr>
          <w:p>
            <w:pPr>
              <w:pStyle w:val="TableContents"/>
              <w:bidi w:val="0"/>
              <w:spacing w:before="0" w:after="1"/>
              <w:ind w:left="0" w:right="0" w:hanging="0"/>
              <w:jc w:val="left"/>
              <w:rPr/>
            </w:pPr>
            <w:r>
              <w:rPr/>
              <w:t>​</w:t>
            </w:r>
          </w:p>
        </w:tc>
        <w:tc>
          <w:tcPr>
            <w:tcW w:w="22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504"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(2.7)</w:t>
            </w:r>
          </w:p>
        </w:tc>
        <w:tc>
          <w:tcPr>
            <w:tcW w:w="363" w:type="dxa"/>
            <w:tcBorders/>
            <w:vAlign w:val="center"/>
          </w:tcPr>
          <w:p>
            <w:pPr>
              <w:pStyle w:val="TableContents"/>
              <w:bidi w:val="0"/>
              <w:spacing w:before="0" w:after="1"/>
              <w:ind w:left="0" w:right="0" w:hanging="0"/>
              <w:jc w:val="left"/>
              <w:rPr/>
            </w:pPr>
            <w:r>
              <w:rPr/>
              <w:t>​</w:t>
            </w:r>
          </w:p>
        </w:tc>
        <w:tc>
          <w:tcPr>
            <w:tcW w:w="22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504"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(3.0)</w:t>
            </w:r>
          </w:p>
        </w:tc>
        <w:tc>
          <w:tcPr>
            <w:tcW w:w="346" w:type="dxa"/>
            <w:tcBorders/>
            <w:vAlign w:val="center"/>
          </w:tcPr>
          <w:p>
            <w:pPr>
              <w:pStyle w:val="TableContents"/>
              <w:bidi w:val="0"/>
              <w:spacing w:before="0" w:after="1"/>
              <w:ind w:left="0" w:right="0" w:hanging="0"/>
              <w:jc w:val="left"/>
              <w:rPr/>
            </w:pPr>
            <w:r>
              <w:rPr/>
              <w:t> </w:t>
            </w:r>
          </w:p>
        </w:tc>
        <w:tc>
          <w:tcPr>
            <w:tcW w:w="75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w:t>
            </w:r>
          </w:p>
        </w:tc>
        <w:tc>
          <w:tcPr>
            <w:tcW w:w="316" w:type="dxa"/>
            <w:tcBorders/>
            <w:vAlign w:val="center"/>
          </w:tcPr>
          <w:p>
            <w:pPr>
              <w:pStyle w:val="TableContents"/>
              <w:bidi w:val="0"/>
              <w:spacing w:before="0" w:after="1"/>
              <w:ind w:left="0" w:right="0" w:hanging="0"/>
              <w:jc w:val="left"/>
              <w:rPr/>
            </w:pPr>
            <w:r>
              <w:rPr/>
              <w:t> </w:t>
            </w:r>
          </w:p>
        </w:tc>
      </w:tr>
      <w:tr>
        <w:trPr/>
        <w:tc>
          <w:tcPr>
            <w:tcW w:w="204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Income from operations</w:t>
            </w:r>
          </w:p>
        </w:tc>
        <w:tc>
          <w:tcPr>
            <w:tcW w:w="346" w:type="dxa"/>
            <w:tcBorders/>
            <w:shd w:fill="CCEEFF" w:val="clear"/>
            <w:vAlign w:val="center"/>
          </w:tcPr>
          <w:p>
            <w:pPr>
              <w:pStyle w:val="TableContents"/>
              <w:bidi w:val="0"/>
              <w:spacing w:before="0" w:after="1"/>
              <w:ind w:left="0" w:right="0" w:hanging="0"/>
              <w:jc w:val="left"/>
              <w:rPr/>
            </w:pPr>
            <w:r>
              <w:rPr/>
              <w:t>​</w:t>
            </w:r>
          </w:p>
        </w:tc>
        <w:tc>
          <w:tcPr>
            <w:tcW w:w="22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504"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3.2</w:t>
            </w:r>
          </w:p>
        </w:tc>
        <w:tc>
          <w:tcPr>
            <w:tcW w:w="363" w:type="dxa"/>
            <w:tcBorders/>
            <w:shd w:fill="CCEEFF" w:val="clear"/>
            <w:vAlign w:val="center"/>
          </w:tcPr>
          <w:p>
            <w:pPr>
              <w:pStyle w:val="TableContents"/>
              <w:bidi w:val="0"/>
              <w:spacing w:before="0" w:after="1"/>
              <w:ind w:left="0" w:right="0" w:hanging="0"/>
              <w:jc w:val="left"/>
              <w:rPr/>
            </w:pPr>
            <w:r>
              <w:rPr/>
              <w:t>​</w:t>
            </w:r>
          </w:p>
        </w:tc>
        <w:tc>
          <w:tcPr>
            <w:tcW w:w="22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w:t>
            </w:r>
          </w:p>
        </w:tc>
        <w:tc>
          <w:tcPr>
            <w:tcW w:w="504"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4.1</w:t>
            </w:r>
          </w:p>
        </w:tc>
        <w:tc>
          <w:tcPr>
            <w:tcW w:w="346" w:type="dxa"/>
            <w:tcBorders/>
            <w:shd w:fill="CCEEFF" w:val="clear"/>
            <w:vAlign w:val="center"/>
          </w:tcPr>
          <w:p>
            <w:pPr>
              <w:pStyle w:val="TableContents"/>
              <w:bidi w:val="0"/>
              <w:spacing w:before="0" w:after="1"/>
              <w:ind w:left="0" w:right="0" w:hanging="0"/>
              <w:jc w:val="left"/>
              <w:rPr/>
            </w:pPr>
            <w:r>
              <w:rPr/>
              <w:t> </w:t>
            </w:r>
          </w:p>
        </w:tc>
        <w:tc>
          <w:tcPr>
            <w:tcW w:w="75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30</w:t>
            </w:r>
          </w:p>
        </w:tc>
        <w:tc>
          <w:tcPr>
            <w:tcW w:w="316" w:type="dxa"/>
            <w:tcBorders/>
            <w:shd w:fill="CCEEFF" w:val="clear"/>
            <w:vAlign w:val="center"/>
          </w:tcPr>
          <w:p>
            <w:pPr>
              <w:pStyle w:val="TableContents"/>
              <w:bidi w:val="0"/>
              <w:spacing w:before="0" w:after="1"/>
              <w:ind w:left="0" w:right="0" w:hanging="0"/>
              <w:jc w:val="left"/>
              <w:rPr/>
            </w:pPr>
            <w:r>
              <w:rPr/>
              <w:t>​</w:t>
            </w:r>
          </w:p>
        </w:tc>
      </w:tr>
    </w:tbl>
    <w:p>
      <w:pPr>
        <w:pStyle w:val="TextBody"/>
        <w:bidi w:val="0"/>
        <w:spacing w:before="240" w:after="240"/>
        <w:ind w:left="0" w:right="0" w:firstLine="720"/>
        <w:jc w:val="both"/>
        <w:rPr>
          <w:rFonts w:ascii="Times New Roman;Times;serif" w:hAnsi="Times New Roman;Times;serif"/>
          <w:sz w:val="20"/>
        </w:rPr>
      </w:pPr>
      <w:r>
        <w:rPr>
          <w:rFonts w:ascii="Times New Roman;Times;serif" w:hAnsi="Times New Roman;Times;serif"/>
          <w:sz w:val="20"/>
        </w:rPr>
        <w:t>CompX is our component products business and corporate expense relates to NL. Each of these items is further discussed below.</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The following table shows the components of our income before income taxes exclusive of our income from operations.</w:t>
      </w:r>
    </w:p>
    <w:tbl>
      <w:tblPr>
        <w:tblW w:w="8012" w:type="dxa"/>
        <w:jc w:val="left"/>
        <w:tblInd w:w="0" w:type="dxa"/>
        <w:tblLayout w:type="fixed"/>
        <w:tblCellMar>
          <w:top w:w="0" w:type="dxa"/>
          <w:left w:w="0" w:type="dxa"/>
          <w:bottom w:w="0" w:type="dxa"/>
          <w:right w:w="0" w:type="dxa"/>
        </w:tblCellMar>
      </w:tblPr>
      <w:tblGrid>
        <w:gridCol w:w="4786"/>
        <w:gridCol w:w="221"/>
        <w:gridCol w:w="504"/>
        <w:gridCol w:w="363"/>
        <w:gridCol w:w="221"/>
        <w:gridCol w:w="504"/>
        <w:gridCol w:w="346"/>
        <w:gridCol w:w="751"/>
        <w:gridCol w:w="316"/>
      </w:tblGrid>
      <w:tr>
        <w:trPr/>
        <w:tc>
          <w:tcPr>
            <w:tcW w:w="47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2">
                      <wp:simplePos x="0" y="0"/>
                      <wp:positionH relativeFrom="character">
                        <wp:align>left</wp:align>
                      </wp:positionH>
                      <wp:positionV relativeFrom="line">
                        <wp:posOffset>635</wp:posOffset>
                      </wp:positionV>
                      <wp:extent cx="3039110" cy="175260"/>
                      <wp:effectExtent l="0" t="0" r="0" b="0"/>
                      <wp:wrapNone/>
                      <wp:docPr id="171" name="Frame171"/>
                      <a:graphic xmlns:a="http://schemas.openxmlformats.org/drawingml/2006/main">
                        <a:graphicData uri="http://schemas.microsoft.com/office/word/2010/wordprocessingShape">
                          <wps:wsp>
                            <wps:cNvSpPr txBox="1"/>
                            <wps:spPr>
                              <a:xfrm>
                                <a:off x="0" y="0"/>
                                <a:ext cx="30391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39.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3">
                      <wp:simplePos x="0" y="0"/>
                      <wp:positionH relativeFrom="character">
                        <wp:align>left</wp:align>
                      </wp:positionH>
                      <wp:positionV relativeFrom="line">
                        <wp:posOffset>635</wp:posOffset>
                      </wp:positionV>
                      <wp:extent cx="140335" cy="175260"/>
                      <wp:effectExtent l="0" t="0" r="0" b="0"/>
                      <wp:wrapNone/>
                      <wp:docPr id="172" name="Frame172"/>
                      <a:graphic xmlns:a="http://schemas.openxmlformats.org/drawingml/2006/main">
                        <a:graphicData uri="http://schemas.microsoft.com/office/word/2010/wordprocessingShape">
                          <wps:wsp>
                            <wps:cNvSpPr txBox="1"/>
                            <wps:spPr>
                              <a:xfrm>
                                <a:off x="0" y="0"/>
                                <a:ext cx="1403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50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4">
                      <wp:simplePos x="0" y="0"/>
                      <wp:positionH relativeFrom="character">
                        <wp:align>left</wp:align>
                      </wp:positionH>
                      <wp:positionV relativeFrom="line">
                        <wp:posOffset>635</wp:posOffset>
                      </wp:positionV>
                      <wp:extent cx="320040" cy="175260"/>
                      <wp:effectExtent l="0" t="0" r="0" b="0"/>
                      <wp:wrapNone/>
                      <wp:docPr id="173" name="Frame173"/>
                      <a:graphic xmlns:a="http://schemas.openxmlformats.org/drawingml/2006/main">
                        <a:graphicData uri="http://schemas.microsoft.com/office/word/2010/wordprocessingShape">
                          <wps:wsp>
                            <wps:cNvSpPr txBox="1"/>
                            <wps:spPr>
                              <a:xfrm>
                                <a:off x="0" y="0"/>
                                <a:ext cx="32004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5.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6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5">
                      <wp:simplePos x="0" y="0"/>
                      <wp:positionH relativeFrom="character">
                        <wp:align>left</wp:align>
                      </wp:positionH>
                      <wp:positionV relativeFrom="line">
                        <wp:posOffset>635</wp:posOffset>
                      </wp:positionV>
                      <wp:extent cx="230505" cy="175260"/>
                      <wp:effectExtent l="0" t="0" r="0" b="0"/>
                      <wp:wrapNone/>
                      <wp:docPr id="174" name="Frame174"/>
                      <a:graphic xmlns:a="http://schemas.openxmlformats.org/drawingml/2006/main">
                        <a:graphicData uri="http://schemas.microsoft.com/office/word/2010/wordprocessingShape">
                          <wps:wsp>
                            <wps:cNvSpPr txBox="1"/>
                            <wps:spPr>
                              <a:xfrm>
                                <a:off x="0" y="0"/>
                                <a:ext cx="23050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6">
                      <wp:simplePos x="0" y="0"/>
                      <wp:positionH relativeFrom="character">
                        <wp:align>left</wp:align>
                      </wp:positionH>
                      <wp:positionV relativeFrom="line">
                        <wp:posOffset>635</wp:posOffset>
                      </wp:positionV>
                      <wp:extent cx="140335" cy="175260"/>
                      <wp:effectExtent l="0" t="0" r="0" b="0"/>
                      <wp:wrapNone/>
                      <wp:docPr id="175" name="Frame175"/>
                      <a:graphic xmlns:a="http://schemas.openxmlformats.org/drawingml/2006/main">
                        <a:graphicData uri="http://schemas.microsoft.com/office/word/2010/wordprocessingShape">
                          <wps:wsp>
                            <wps:cNvSpPr txBox="1"/>
                            <wps:spPr>
                              <a:xfrm>
                                <a:off x="0" y="0"/>
                                <a:ext cx="1403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50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7">
                      <wp:simplePos x="0" y="0"/>
                      <wp:positionH relativeFrom="character">
                        <wp:align>left</wp:align>
                      </wp:positionH>
                      <wp:positionV relativeFrom="line">
                        <wp:posOffset>635</wp:posOffset>
                      </wp:positionV>
                      <wp:extent cx="320040" cy="175260"/>
                      <wp:effectExtent l="0" t="0" r="0" b="0"/>
                      <wp:wrapNone/>
                      <wp:docPr id="176" name="Frame176"/>
                      <a:graphic xmlns:a="http://schemas.openxmlformats.org/drawingml/2006/main">
                        <a:graphicData uri="http://schemas.microsoft.com/office/word/2010/wordprocessingShape">
                          <wps:wsp>
                            <wps:cNvSpPr txBox="1"/>
                            <wps:spPr>
                              <a:xfrm>
                                <a:off x="0" y="0"/>
                                <a:ext cx="32004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5.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8">
                      <wp:simplePos x="0" y="0"/>
                      <wp:positionH relativeFrom="character">
                        <wp:align>left</wp:align>
                      </wp:positionH>
                      <wp:positionV relativeFrom="line">
                        <wp:posOffset>635</wp:posOffset>
                      </wp:positionV>
                      <wp:extent cx="219710" cy="175260"/>
                      <wp:effectExtent l="0" t="0" r="0" b="0"/>
                      <wp:wrapNone/>
                      <wp:docPr id="177" name="Frame177"/>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5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9">
                      <wp:simplePos x="0" y="0"/>
                      <wp:positionH relativeFrom="character">
                        <wp:align>left</wp:align>
                      </wp:positionH>
                      <wp:positionV relativeFrom="line">
                        <wp:posOffset>635</wp:posOffset>
                      </wp:positionV>
                      <wp:extent cx="476885" cy="175260"/>
                      <wp:effectExtent l="0" t="0" r="0" b="0"/>
                      <wp:wrapNone/>
                      <wp:docPr id="178" name="Frame178"/>
                      <a:graphic xmlns:a="http://schemas.openxmlformats.org/drawingml/2006/main">
                        <a:graphicData uri="http://schemas.microsoft.com/office/word/2010/wordprocessingShape">
                          <wps:wsp>
                            <wps:cNvSpPr txBox="1"/>
                            <wps:spPr>
                              <a:xfrm>
                                <a:off x="0" y="0"/>
                                <a:ext cx="4768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7.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0">
                      <wp:simplePos x="0" y="0"/>
                      <wp:positionH relativeFrom="character">
                        <wp:align>left</wp:align>
                      </wp:positionH>
                      <wp:positionV relativeFrom="line">
                        <wp:posOffset>635</wp:posOffset>
                      </wp:positionV>
                      <wp:extent cx="200660" cy="175260"/>
                      <wp:effectExtent l="0" t="0" r="0" b="0"/>
                      <wp:wrapNone/>
                      <wp:docPr id="179" name="Frame179"/>
                      <a:graphic xmlns:a="http://schemas.openxmlformats.org/drawingml/2006/main">
                        <a:graphicData uri="http://schemas.microsoft.com/office/word/2010/wordprocessingShape">
                          <wps:wsp>
                            <wps:cNvSpPr txBox="1"/>
                            <wps:spPr>
                              <a:xfrm>
                                <a:off x="0" y="0"/>
                                <a:ext cx="2006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4786" w:type="dxa"/>
            <w:tcBorders/>
            <w:vAlign w:val="center"/>
          </w:tcPr>
          <w:p>
            <w:pPr>
              <w:pStyle w:val="TableContents"/>
              <w:bidi w:val="0"/>
              <w:spacing w:before="0" w:after="1"/>
              <w:ind w:left="0" w:right="0" w:hanging="0"/>
              <w:jc w:val="left"/>
              <w:rPr/>
            </w:pPr>
            <w:r>
              <w:rPr/>
              <w:t>​</w:t>
            </w:r>
          </w:p>
        </w:tc>
        <w:tc>
          <w:tcPr>
            <w:tcW w:w="1813"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Three months ended</w:t>
              <w:br/>
              <w:t>March 31,</w:t>
            </w:r>
          </w:p>
        </w:tc>
        <w:tc>
          <w:tcPr>
            <w:tcW w:w="346" w:type="dxa"/>
            <w:tcBorders/>
            <w:vAlign w:val="center"/>
          </w:tcPr>
          <w:p>
            <w:pPr>
              <w:pStyle w:val="TableContents"/>
              <w:bidi w:val="0"/>
              <w:spacing w:before="0" w:after="1"/>
              <w:ind w:left="0" w:right="0" w:hanging="0"/>
              <w:jc w:val="center"/>
              <w:rPr/>
            </w:pPr>
            <w:r>
              <w:rPr/>
              <w:t>  ​ ​ ​</w:t>
            </w:r>
          </w:p>
        </w:tc>
        <w:tc>
          <w:tcPr>
            <w:tcW w:w="751" w:type="dxa"/>
            <w:tcBorders/>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w:t>
            </w:r>
          </w:p>
        </w:tc>
        <w:tc>
          <w:tcPr>
            <w:tcW w:w="316" w:type="dxa"/>
            <w:tcBorders/>
            <w:vAlign w:val="center"/>
          </w:tcPr>
          <w:p>
            <w:pPr>
              <w:pStyle w:val="TableContents"/>
              <w:bidi w:val="0"/>
              <w:spacing w:before="0" w:after="1"/>
              <w:ind w:left="0" w:right="0" w:hanging="0"/>
              <w:jc w:val="center"/>
              <w:rPr/>
            </w:pPr>
            <w:r>
              <w:rPr/>
              <w:t> </w:t>
            </w:r>
          </w:p>
        </w:tc>
      </w:tr>
      <w:tr>
        <w:trPr/>
        <w:tc>
          <w:tcPr>
            <w:tcW w:w="4786" w:type="dxa"/>
            <w:tcBorders/>
            <w:vAlign w:val="center"/>
          </w:tcPr>
          <w:p>
            <w:pPr>
              <w:pStyle w:val="TableContents"/>
              <w:bidi w:val="0"/>
              <w:spacing w:before="0" w:after="1"/>
              <w:ind w:left="0" w:right="0" w:hanging="0"/>
              <w:jc w:val="left"/>
              <w:rPr/>
            </w:pPr>
            <w:r>
              <w:rPr/>
              <w:t>​</w:t>
            </w:r>
          </w:p>
        </w:tc>
        <w:tc>
          <w:tcPr>
            <w:tcW w:w="725"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2025</w:t>
            </w:r>
          </w:p>
        </w:tc>
        <w:tc>
          <w:tcPr>
            <w:tcW w:w="363" w:type="dxa"/>
            <w:tcBorders/>
            <w:vAlign w:val="center"/>
          </w:tcPr>
          <w:p>
            <w:pPr>
              <w:pStyle w:val="TableContents"/>
              <w:bidi w:val="0"/>
              <w:spacing w:before="0" w:after="1"/>
              <w:ind w:left="0" w:right="0" w:hanging="0"/>
              <w:jc w:val="center"/>
              <w:rPr/>
            </w:pPr>
            <w:r>
              <w:rPr/>
              <w:t>  ​ ​ ​</w:t>
            </w:r>
          </w:p>
        </w:tc>
        <w:tc>
          <w:tcPr>
            <w:tcW w:w="725"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2026</w:t>
            </w:r>
          </w:p>
        </w:tc>
        <w:tc>
          <w:tcPr>
            <w:tcW w:w="346" w:type="dxa"/>
            <w:tcBorders/>
            <w:vAlign w:val="center"/>
          </w:tcPr>
          <w:p>
            <w:pPr>
              <w:pStyle w:val="TableContents"/>
              <w:bidi w:val="0"/>
              <w:spacing w:before="0" w:after="1"/>
              <w:ind w:left="0" w:right="0" w:hanging="0"/>
              <w:jc w:val="center"/>
              <w:rPr/>
            </w:pPr>
            <w:r>
              <w:rPr/>
              <w:t>  ​ ​ ​</w:t>
            </w:r>
          </w:p>
        </w:tc>
        <w:tc>
          <w:tcPr>
            <w:tcW w:w="751"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Change</w:t>
            </w:r>
          </w:p>
        </w:tc>
        <w:tc>
          <w:tcPr>
            <w:tcW w:w="316" w:type="dxa"/>
            <w:tcBorders/>
            <w:vAlign w:val="center"/>
          </w:tcPr>
          <w:p>
            <w:pPr>
              <w:pStyle w:val="TableContents"/>
              <w:bidi w:val="0"/>
              <w:spacing w:before="0" w:after="1"/>
              <w:ind w:left="0" w:right="0" w:hanging="0"/>
              <w:jc w:val="center"/>
              <w:rPr/>
            </w:pPr>
            <w:r>
              <w:rPr/>
              <w:t> </w:t>
            </w:r>
          </w:p>
        </w:tc>
      </w:tr>
      <w:tr>
        <w:trPr/>
        <w:tc>
          <w:tcPr>
            <w:tcW w:w="8012" w:type="dxa"/>
            <w:gridSpan w:val="9"/>
            <w:tcBorders/>
            <w:vAlign w:val="center"/>
          </w:tcPr>
          <w:p>
            <w:pPr>
              <w:pStyle w:val="TableContents"/>
              <w:bidi w:val="0"/>
              <w:spacing w:before="0" w:after="283"/>
              <w:ind w:left="0" w:right="0" w:hanging="0"/>
              <w:jc w:val="left"/>
              <w:rPr>
                <w:sz w:val="4"/>
                <w:szCs w:val="4"/>
              </w:rPr>
            </w:pPr>
            <w:r>
              <w:rPr>
                <w:sz w:val="4"/>
                <w:szCs w:val="4"/>
              </w:rPr>
            </w:r>
          </w:p>
        </w:tc>
      </w:tr>
      <w:tr>
        <w:trPr/>
        <w:tc>
          <w:tcPr>
            <w:tcW w:w="4786" w:type="dxa"/>
            <w:tcBorders/>
            <w:vAlign w:val="center"/>
          </w:tcPr>
          <w:p>
            <w:pPr>
              <w:pStyle w:val="TableContents"/>
              <w:bidi w:val="0"/>
              <w:spacing w:before="0" w:after="1"/>
              <w:ind w:left="0" w:right="0" w:hanging="0"/>
              <w:jc w:val="left"/>
              <w:rPr/>
            </w:pPr>
            <w:r>
              <w:rPr/>
              <w:t>​</w:t>
            </w:r>
          </w:p>
        </w:tc>
        <w:tc>
          <w:tcPr>
            <w:tcW w:w="1813" w:type="dxa"/>
            <w:gridSpan w:val="5"/>
            <w:tcBorders/>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(In millions)</w:t>
            </w:r>
          </w:p>
        </w:tc>
        <w:tc>
          <w:tcPr>
            <w:tcW w:w="346" w:type="dxa"/>
            <w:tcBorders/>
            <w:vAlign w:val="center"/>
          </w:tcPr>
          <w:p>
            <w:pPr>
              <w:pStyle w:val="TableContents"/>
              <w:bidi w:val="0"/>
              <w:spacing w:before="0" w:after="1"/>
              <w:ind w:left="0" w:right="0" w:hanging="0"/>
              <w:jc w:val="center"/>
              <w:rPr/>
            </w:pPr>
            <w:r>
              <w:rPr/>
              <w:t>​</w:t>
            </w:r>
          </w:p>
        </w:tc>
        <w:tc>
          <w:tcPr>
            <w:tcW w:w="751" w:type="dxa"/>
            <w:tcBorders/>
            <w:vAlign w:val="center"/>
          </w:tcPr>
          <w:p>
            <w:pPr>
              <w:pStyle w:val="TableContents"/>
              <w:bidi w:val="0"/>
              <w:spacing w:before="0" w:after="1"/>
              <w:ind w:left="0" w:right="0" w:hanging="0"/>
              <w:jc w:val="center"/>
              <w:rPr/>
            </w:pPr>
            <w:r>
              <w:rPr/>
              <w:t>​</w:t>
            </w:r>
          </w:p>
        </w:tc>
        <w:tc>
          <w:tcPr>
            <w:tcW w:w="316" w:type="dxa"/>
            <w:tcBorders/>
            <w:vAlign w:val="center"/>
          </w:tcPr>
          <w:p>
            <w:pPr>
              <w:pStyle w:val="TableContents"/>
              <w:bidi w:val="0"/>
              <w:spacing w:before="0" w:after="1"/>
              <w:ind w:left="0" w:right="0" w:hanging="0"/>
              <w:jc w:val="center"/>
              <w:rPr/>
            </w:pPr>
            <w:r>
              <w:rPr/>
              <w:t> </w:t>
            </w:r>
          </w:p>
        </w:tc>
      </w:tr>
      <w:tr>
        <w:trPr/>
        <w:tc>
          <w:tcPr>
            <w:tcW w:w="478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Equity in earnings (losses) of Kronos</w:t>
            </w:r>
          </w:p>
        </w:tc>
        <w:tc>
          <w:tcPr>
            <w:tcW w:w="22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504"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5.5</w:t>
            </w:r>
          </w:p>
        </w:tc>
        <w:tc>
          <w:tcPr>
            <w:tcW w:w="363" w:type="dxa"/>
            <w:tcBorders/>
            <w:shd w:fill="CCEEFF" w:val="clear"/>
            <w:vAlign w:val="center"/>
          </w:tcPr>
          <w:p>
            <w:pPr>
              <w:pStyle w:val="TableContents"/>
              <w:bidi w:val="0"/>
              <w:spacing w:before="0" w:after="1"/>
              <w:ind w:left="0" w:right="0" w:hanging="0"/>
              <w:jc w:val="left"/>
              <w:rPr/>
            </w:pPr>
            <w:r>
              <w:rPr/>
              <w:t>​</w:t>
            </w:r>
          </w:p>
        </w:tc>
        <w:tc>
          <w:tcPr>
            <w:tcW w:w="221" w:type="dxa"/>
            <w:tcBorders/>
            <w:shd w:fill="CCEEFF" w:val="cle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w:t>
            </w:r>
          </w:p>
        </w:tc>
        <w:tc>
          <w:tcPr>
            <w:tcW w:w="504" w:type="dxa"/>
            <w:tcBorders/>
            <w:shd w:fill="CCEEFF" w:val="cle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(1.5)</w:t>
            </w:r>
          </w:p>
        </w:tc>
        <w:tc>
          <w:tcPr>
            <w:tcW w:w="346" w:type="dxa"/>
            <w:tcBorders/>
            <w:shd w:fill="CCEEFF" w:val="clear"/>
            <w:vAlign w:val="center"/>
          </w:tcPr>
          <w:p>
            <w:pPr>
              <w:pStyle w:val="TableContents"/>
              <w:bidi w:val="0"/>
              <w:spacing w:before="0" w:after="1"/>
              <w:ind w:left="0" w:right="0" w:hanging="0"/>
              <w:jc w:val="left"/>
              <w:rPr/>
            </w:pPr>
            <w:r>
              <w:rPr/>
              <w:t> </w:t>
            </w:r>
          </w:p>
        </w:tc>
        <w:tc>
          <w:tcPr>
            <w:tcW w:w="75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(127)</w:t>
            </w:r>
          </w:p>
        </w:tc>
        <w:tc>
          <w:tcPr>
            <w:tcW w:w="31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478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Marketable equity securities gain (loss)</w:t>
            </w:r>
          </w:p>
        </w:tc>
        <w:tc>
          <w:tcPr>
            <w:tcW w:w="221" w:type="dxa"/>
            <w:tcBorders/>
            <w:vAlign w:val="center"/>
          </w:tcPr>
          <w:p>
            <w:pPr>
              <w:pStyle w:val="TableContents"/>
              <w:bidi w:val="0"/>
              <w:spacing w:before="0" w:after="1"/>
              <w:ind w:left="0" w:right="0" w:hanging="0"/>
              <w:jc w:val="left"/>
              <w:rPr/>
            </w:pPr>
            <w:r>
              <w:rPr/>
              <w:t> </w:t>
            </w:r>
          </w:p>
        </w:tc>
        <w:tc>
          <w:tcPr>
            <w:tcW w:w="504"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(8.5)</w:t>
            </w:r>
          </w:p>
        </w:tc>
        <w:tc>
          <w:tcPr>
            <w:tcW w:w="363" w:type="dxa"/>
            <w:tcBorders/>
            <w:vAlign w:val="center"/>
          </w:tcPr>
          <w:p>
            <w:pPr>
              <w:pStyle w:val="TableContents"/>
              <w:bidi w:val="0"/>
              <w:spacing w:before="0" w:after="1"/>
              <w:ind w:left="0" w:right="0" w:hanging="0"/>
              <w:jc w:val="left"/>
              <w:rPr/>
            </w:pPr>
            <w:r>
              <w:rPr/>
              <w:t>​</w:t>
            </w:r>
          </w:p>
        </w:tc>
        <w:tc>
          <w:tcPr>
            <w:tcW w:w="221" w:type="dxa"/>
            <w:tcBorders/>
            <w:vAlign w:val="center"/>
          </w:tcPr>
          <w:p>
            <w:pPr>
              <w:pStyle w:val="TableContents"/>
              <w:bidi w:val="0"/>
              <w:spacing w:before="0" w:after="1"/>
              <w:ind w:left="0" w:right="0" w:hanging="0"/>
              <w:jc w:val="left"/>
              <w:rPr/>
            </w:pPr>
            <w:r>
              <w:rPr/>
              <w:t> </w:t>
            </w:r>
          </w:p>
        </w:tc>
        <w:tc>
          <w:tcPr>
            <w:tcW w:w="504" w:type="dxa"/>
            <w:tcBorders/>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2.7</w:t>
            </w:r>
          </w:p>
        </w:tc>
        <w:tc>
          <w:tcPr>
            <w:tcW w:w="346" w:type="dxa"/>
            <w:tcBorders/>
            <w:vAlign w:val="center"/>
          </w:tcPr>
          <w:p>
            <w:pPr>
              <w:pStyle w:val="TableContents"/>
              <w:bidi w:val="0"/>
              <w:spacing w:before="0" w:after="1"/>
              <w:ind w:left="0" w:right="0" w:hanging="0"/>
              <w:jc w:val="left"/>
              <w:rPr/>
            </w:pPr>
            <w:r>
              <w:rPr/>
              <w:t> </w:t>
            </w:r>
          </w:p>
        </w:tc>
        <w:tc>
          <w:tcPr>
            <w:tcW w:w="75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132</w:t>
            </w:r>
          </w:p>
        </w:tc>
        <w:tc>
          <w:tcPr>
            <w:tcW w:w="316" w:type="dxa"/>
            <w:tcBorders/>
            <w:vAlign w:val="center"/>
          </w:tcPr>
          <w:p>
            <w:pPr>
              <w:pStyle w:val="TableContents"/>
              <w:bidi w:val="0"/>
              <w:spacing w:before="0" w:after="1"/>
              <w:ind w:left="0" w:right="0" w:hanging="0"/>
              <w:jc w:val="left"/>
              <w:rPr/>
            </w:pPr>
            <w:r>
              <w:rPr/>
              <w:t>​</w:t>
            </w:r>
          </w:p>
        </w:tc>
      </w:tr>
      <w:tr>
        <w:trPr/>
        <w:tc>
          <w:tcPr>
            <w:tcW w:w="478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Other components of net periodic pension and OPEB cost</w:t>
            </w:r>
          </w:p>
        </w:tc>
        <w:tc>
          <w:tcPr>
            <w:tcW w:w="221" w:type="dxa"/>
            <w:tcBorders/>
            <w:shd w:fill="CCEEFF" w:val="clear"/>
            <w:vAlign w:val="center"/>
          </w:tcPr>
          <w:p>
            <w:pPr>
              <w:pStyle w:val="TableContents"/>
              <w:bidi w:val="0"/>
              <w:spacing w:before="0" w:after="1"/>
              <w:ind w:left="0" w:right="0" w:hanging="0"/>
              <w:jc w:val="left"/>
              <w:rPr/>
            </w:pPr>
            <w:r>
              <w:rPr/>
              <w:t> </w:t>
            </w:r>
          </w:p>
        </w:tc>
        <w:tc>
          <w:tcPr>
            <w:tcW w:w="504"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w:t>
            </w:r>
          </w:p>
        </w:tc>
        <w:tc>
          <w:tcPr>
            <w:tcW w:w="363" w:type="dxa"/>
            <w:tcBorders/>
            <w:shd w:fill="CCEEFF" w:val="clear"/>
            <w:vAlign w:val="center"/>
          </w:tcPr>
          <w:p>
            <w:pPr>
              <w:pStyle w:val="TableContents"/>
              <w:bidi w:val="0"/>
              <w:spacing w:before="0" w:after="1"/>
              <w:ind w:left="0" w:right="0" w:hanging="0"/>
              <w:jc w:val="left"/>
              <w:rPr/>
            </w:pPr>
            <w:r>
              <w:rPr/>
              <w:t>​</w:t>
            </w:r>
          </w:p>
        </w:tc>
        <w:tc>
          <w:tcPr>
            <w:tcW w:w="221" w:type="dxa"/>
            <w:tcBorders/>
            <w:shd w:fill="CCEEFF" w:val="clear"/>
            <w:vAlign w:val="center"/>
          </w:tcPr>
          <w:p>
            <w:pPr>
              <w:pStyle w:val="TableContents"/>
              <w:bidi w:val="0"/>
              <w:spacing w:before="0" w:after="1"/>
              <w:ind w:left="0" w:right="0" w:hanging="0"/>
              <w:jc w:val="left"/>
              <w:rPr/>
            </w:pPr>
            <w:r>
              <w:rPr/>
              <w:t> </w:t>
            </w:r>
          </w:p>
        </w:tc>
        <w:tc>
          <w:tcPr>
            <w:tcW w:w="504"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 </w:t>
            </w:r>
          </w:p>
        </w:tc>
        <w:tc>
          <w:tcPr>
            <w:tcW w:w="75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(100)</w:t>
            </w:r>
          </w:p>
        </w:tc>
        <w:tc>
          <w:tcPr>
            <w:tcW w:w="316" w:type="dxa"/>
            <w:tcBorders/>
            <w:shd w:fill="CCEEFF" w:val="clear"/>
            <w:vAlign w:val="center"/>
          </w:tcPr>
          <w:p>
            <w:pPr>
              <w:pStyle w:val="TableContents"/>
              <w:bidi w:val="0"/>
              <w:spacing w:before="0" w:after="1"/>
              <w:ind w:left="0" w:right="0" w:hanging="0"/>
              <w:jc w:val="left"/>
              <w:rPr/>
            </w:pPr>
            <w:r>
              <w:rPr/>
              <w:t>​</w:t>
            </w:r>
          </w:p>
        </w:tc>
      </w:tr>
      <w:tr>
        <w:trPr/>
        <w:tc>
          <w:tcPr>
            <w:tcW w:w="478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Interest and dividend income</w:t>
            </w:r>
          </w:p>
        </w:tc>
        <w:tc>
          <w:tcPr>
            <w:tcW w:w="221" w:type="dxa"/>
            <w:tcBorders/>
            <w:vAlign w:val="center"/>
          </w:tcPr>
          <w:p>
            <w:pPr>
              <w:pStyle w:val="TableContents"/>
              <w:bidi w:val="0"/>
              <w:spacing w:before="0" w:after="1"/>
              <w:ind w:left="0" w:right="0" w:hanging="0"/>
              <w:jc w:val="left"/>
              <w:rPr/>
            </w:pPr>
            <w:r>
              <w:rPr/>
              <w:t> </w:t>
            </w:r>
          </w:p>
        </w:tc>
        <w:tc>
          <w:tcPr>
            <w:tcW w:w="504"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2.0</w:t>
            </w:r>
          </w:p>
        </w:tc>
        <w:tc>
          <w:tcPr>
            <w:tcW w:w="363" w:type="dxa"/>
            <w:tcBorders/>
            <w:vAlign w:val="center"/>
          </w:tcPr>
          <w:p>
            <w:pPr>
              <w:pStyle w:val="TableContents"/>
              <w:bidi w:val="0"/>
              <w:spacing w:before="0" w:after="1"/>
              <w:ind w:left="0" w:right="0" w:hanging="0"/>
              <w:jc w:val="left"/>
              <w:rPr/>
            </w:pPr>
            <w:r>
              <w:rPr/>
              <w:t>​</w:t>
            </w:r>
          </w:p>
        </w:tc>
        <w:tc>
          <w:tcPr>
            <w:tcW w:w="221" w:type="dxa"/>
            <w:tcBorders/>
            <w:vAlign w:val="center"/>
          </w:tcPr>
          <w:p>
            <w:pPr>
              <w:pStyle w:val="TableContents"/>
              <w:bidi w:val="0"/>
              <w:spacing w:before="0" w:after="1"/>
              <w:ind w:left="0" w:right="0" w:hanging="0"/>
              <w:jc w:val="left"/>
              <w:rPr/>
            </w:pPr>
            <w:r>
              <w:rPr/>
              <w:t> </w:t>
            </w:r>
          </w:p>
        </w:tc>
        <w:tc>
          <w:tcPr>
            <w:tcW w:w="504" w:type="dxa"/>
            <w:tcBorders/>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1.3</w:t>
            </w:r>
          </w:p>
        </w:tc>
        <w:tc>
          <w:tcPr>
            <w:tcW w:w="346" w:type="dxa"/>
            <w:tcBorders/>
            <w:vAlign w:val="center"/>
          </w:tcPr>
          <w:p>
            <w:pPr>
              <w:pStyle w:val="TableContents"/>
              <w:bidi w:val="0"/>
              <w:spacing w:before="0" w:after="1"/>
              <w:ind w:left="0" w:right="0" w:hanging="0"/>
              <w:jc w:val="left"/>
              <w:rPr/>
            </w:pPr>
            <w:r>
              <w:rPr/>
              <w:t> </w:t>
            </w:r>
          </w:p>
        </w:tc>
        <w:tc>
          <w:tcPr>
            <w:tcW w:w="75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(39)</w:t>
            </w:r>
          </w:p>
        </w:tc>
        <w:tc>
          <w:tcPr>
            <w:tcW w:w="316" w:type="dxa"/>
            <w:tcBorders/>
            <w:vAlign w:val="center"/>
          </w:tcPr>
          <w:p>
            <w:pPr>
              <w:pStyle w:val="TableContents"/>
              <w:bidi w:val="0"/>
              <w:spacing w:before="0" w:after="1"/>
              <w:ind w:left="0" w:right="0" w:hanging="0"/>
              <w:jc w:val="left"/>
              <w:rPr/>
            </w:pPr>
            <w:r>
              <w:rPr/>
              <w:t>​</w:t>
            </w:r>
          </w:p>
        </w:tc>
      </w:tr>
      <w:tr>
        <w:trPr/>
        <w:tc>
          <w:tcPr>
            <w:tcW w:w="478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Interest expense</w:t>
            </w:r>
          </w:p>
        </w:tc>
        <w:tc>
          <w:tcPr>
            <w:tcW w:w="221" w:type="dxa"/>
            <w:tcBorders/>
            <w:shd w:fill="CCEEFF" w:val="clear"/>
            <w:vAlign w:val="center"/>
          </w:tcPr>
          <w:p>
            <w:pPr>
              <w:pStyle w:val="TableContents"/>
              <w:bidi w:val="0"/>
              <w:spacing w:before="0" w:after="1"/>
              <w:ind w:left="0" w:right="0" w:hanging="0"/>
              <w:jc w:val="left"/>
              <w:rPr/>
            </w:pPr>
            <w:r>
              <w:rPr/>
              <w:t> </w:t>
            </w:r>
          </w:p>
        </w:tc>
        <w:tc>
          <w:tcPr>
            <w:tcW w:w="504"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w:t>
            </w:r>
          </w:p>
        </w:tc>
        <w:tc>
          <w:tcPr>
            <w:tcW w:w="363" w:type="dxa"/>
            <w:tcBorders/>
            <w:shd w:fill="CCEEFF" w:val="clear"/>
            <w:vAlign w:val="center"/>
          </w:tcPr>
          <w:p>
            <w:pPr>
              <w:pStyle w:val="TableContents"/>
              <w:bidi w:val="0"/>
              <w:spacing w:before="0" w:after="1"/>
              <w:ind w:left="0" w:right="0" w:hanging="0"/>
              <w:jc w:val="left"/>
              <w:rPr/>
            </w:pPr>
            <w:r>
              <w:rPr/>
              <w:t>​</w:t>
            </w:r>
          </w:p>
        </w:tc>
        <w:tc>
          <w:tcPr>
            <w:tcW w:w="221" w:type="dxa"/>
            <w:tcBorders/>
            <w:shd w:fill="CCEEFF" w:val="clear"/>
            <w:vAlign w:val="center"/>
          </w:tcPr>
          <w:p>
            <w:pPr>
              <w:pStyle w:val="TableContents"/>
              <w:bidi w:val="0"/>
              <w:spacing w:before="0" w:after="1"/>
              <w:ind w:left="0" w:right="0" w:hanging="0"/>
              <w:jc w:val="left"/>
              <w:rPr/>
            </w:pPr>
            <w:r>
              <w:rPr/>
              <w:t> </w:t>
            </w:r>
          </w:p>
        </w:tc>
        <w:tc>
          <w:tcPr>
            <w:tcW w:w="504"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 </w:t>
            </w:r>
          </w:p>
        </w:tc>
        <w:tc>
          <w:tcPr>
            <w:tcW w:w="75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(98)</w:t>
            </w:r>
          </w:p>
        </w:tc>
        <w:tc>
          <w:tcPr>
            <w:tcW w:w="316" w:type="dxa"/>
            <w:tcBorders/>
            <w:shd w:fill="CCEEFF" w:val="clear"/>
            <w:vAlign w:val="center"/>
          </w:tcPr>
          <w:p>
            <w:pPr>
              <w:pStyle w:val="TableContents"/>
              <w:bidi w:val="0"/>
              <w:spacing w:before="0" w:after="1"/>
              <w:ind w:left="0" w:right="0" w:hanging="0"/>
              <w:jc w:val="left"/>
              <w:rPr/>
            </w:pPr>
            <w:r>
              <w:rPr/>
              <w:t>​</w:t>
            </w:r>
          </w:p>
        </w:tc>
      </w:tr>
    </w:tbl>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20</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CompX International Inc</w:t>
      </w:r>
      <w:r>
        <w:rPr>
          <w:rFonts w:ascii="Times New Roman;Times;serif" w:hAnsi="Times New Roman;Times;serif"/>
          <w:b/>
          <w:i w:val="false"/>
          <w:caps w:val="false"/>
          <w:smallCaps w:val="false"/>
          <w:sz w:val="20"/>
        </w:rPr>
        <w:t>.</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CompX’s segment profit in the first quarter of 2026 was $7.1 million compared to $5.9 million in the same period of 2025. The increase in segment profit in the first quarter of 2026 compared to 2025 is primarily due to higher gross margin at the Security Products reporting unit and, to a lesser extent, the impact of higher sales at the Marine Components reporting unit.</w:t>
      </w:r>
    </w:p>
    <w:tbl>
      <w:tblPr>
        <w:tblW w:w="7354" w:type="dxa"/>
        <w:jc w:val="left"/>
        <w:tblInd w:w="0" w:type="dxa"/>
        <w:tblLayout w:type="fixed"/>
        <w:tblCellMar>
          <w:top w:w="0" w:type="dxa"/>
          <w:left w:w="0" w:type="dxa"/>
          <w:bottom w:w="0" w:type="dxa"/>
          <w:right w:w="0" w:type="dxa"/>
        </w:tblCellMar>
      </w:tblPr>
      <w:tblGrid>
        <w:gridCol w:w="3736"/>
        <w:gridCol w:w="346"/>
        <w:gridCol w:w="223"/>
        <w:gridCol w:w="493"/>
        <w:gridCol w:w="382"/>
        <w:gridCol w:w="223"/>
        <w:gridCol w:w="493"/>
        <w:gridCol w:w="391"/>
        <w:gridCol w:w="751"/>
        <w:gridCol w:w="316"/>
      </w:tblGrid>
      <w:tr>
        <w:trPr/>
        <w:tc>
          <w:tcPr>
            <w:tcW w:w="37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1">
                      <wp:simplePos x="0" y="0"/>
                      <wp:positionH relativeFrom="character">
                        <wp:align>left</wp:align>
                      </wp:positionH>
                      <wp:positionV relativeFrom="line">
                        <wp:posOffset>635</wp:posOffset>
                      </wp:positionV>
                      <wp:extent cx="2372360" cy="175260"/>
                      <wp:effectExtent l="0" t="0" r="0" b="0"/>
                      <wp:wrapNone/>
                      <wp:docPr id="180" name="Frame180"/>
                      <a:graphic xmlns:a="http://schemas.openxmlformats.org/drawingml/2006/main">
                        <a:graphicData uri="http://schemas.microsoft.com/office/word/2010/wordprocessingShape">
                          <wps:wsp>
                            <wps:cNvSpPr txBox="1"/>
                            <wps:spPr>
                              <a:xfrm>
                                <a:off x="0" y="0"/>
                                <a:ext cx="23723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6.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2">
                      <wp:simplePos x="0" y="0"/>
                      <wp:positionH relativeFrom="character">
                        <wp:align>left</wp:align>
                      </wp:positionH>
                      <wp:positionV relativeFrom="line">
                        <wp:posOffset>635</wp:posOffset>
                      </wp:positionV>
                      <wp:extent cx="219710" cy="175260"/>
                      <wp:effectExtent l="0" t="0" r="0" b="0"/>
                      <wp:wrapNone/>
                      <wp:docPr id="181" name="Frame181"/>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2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3">
                      <wp:simplePos x="0" y="0"/>
                      <wp:positionH relativeFrom="character">
                        <wp:align>left</wp:align>
                      </wp:positionH>
                      <wp:positionV relativeFrom="line">
                        <wp:posOffset>635</wp:posOffset>
                      </wp:positionV>
                      <wp:extent cx="141605" cy="175260"/>
                      <wp:effectExtent l="0" t="0" r="0" b="0"/>
                      <wp:wrapNone/>
                      <wp:docPr id="182" name="Frame182"/>
                      <a:graphic xmlns:a="http://schemas.openxmlformats.org/drawingml/2006/main">
                        <a:graphicData uri="http://schemas.microsoft.com/office/word/2010/wordprocessingShape">
                          <wps:wsp>
                            <wps:cNvSpPr txBox="1"/>
                            <wps:spPr>
                              <a:xfrm>
                                <a:off x="0" y="0"/>
                                <a:ext cx="14160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9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4">
                      <wp:simplePos x="0" y="0"/>
                      <wp:positionH relativeFrom="character">
                        <wp:align>left</wp:align>
                      </wp:positionH>
                      <wp:positionV relativeFrom="line">
                        <wp:posOffset>635</wp:posOffset>
                      </wp:positionV>
                      <wp:extent cx="313055" cy="175260"/>
                      <wp:effectExtent l="0" t="0" r="0" b="0"/>
                      <wp:wrapNone/>
                      <wp:docPr id="183" name="Frame183"/>
                      <a:graphic xmlns:a="http://schemas.openxmlformats.org/drawingml/2006/main">
                        <a:graphicData uri="http://schemas.microsoft.com/office/word/2010/wordprocessingShape">
                          <wps:wsp>
                            <wps:cNvSpPr txBox="1"/>
                            <wps:spPr>
                              <a:xfrm>
                                <a:off x="0" y="0"/>
                                <a:ext cx="31305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4.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8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5">
                      <wp:simplePos x="0" y="0"/>
                      <wp:positionH relativeFrom="character">
                        <wp:align>left</wp:align>
                      </wp:positionH>
                      <wp:positionV relativeFrom="line">
                        <wp:posOffset>635</wp:posOffset>
                      </wp:positionV>
                      <wp:extent cx="242570" cy="175260"/>
                      <wp:effectExtent l="0" t="0" r="0" b="0"/>
                      <wp:wrapNone/>
                      <wp:docPr id="184" name="Frame184"/>
                      <a:graphic xmlns:a="http://schemas.openxmlformats.org/drawingml/2006/main">
                        <a:graphicData uri="http://schemas.microsoft.com/office/word/2010/wordprocessingShape">
                          <wps:wsp>
                            <wps:cNvSpPr txBox="1"/>
                            <wps:spPr>
                              <a:xfrm>
                                <a:off x="0" y="0"/>
                                <a:ext cx="24257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2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6">
                      <wp:simplePos x="0" y="0"/>
                      <wp:positionH relativeFrom="character">
                        <wp:align>left</wp:align>
                      </wp:positionH>
                      <wp:positionV relativeFrom="line">
                        <wp:posOffset>635</wp:posOffset>
                      </wp:positionV>
                      <wp:extent cx="141605" cy="175260"/>
                      <wp:effectExtent l="0" t="0" r="0" b="0"/>
                      <wp:wrapNone/>
                      <wp:docPr id="185" name="Frame185"/>
                      <a:graphic xmlns:a="http://schemas.openxmlformats.org/drawingml/2006/main">
                        <a:graphicData uri="http://schemas.microsoft.com/office/word/2010/wordprocessingShape">
                          <wps:wsp>
                            <wps:cNvSpPr txBox="1"/>
                            <wps:spPr>
                              <a:xfrm>
                                <a:off x="0" y="0"/>
                                <a:ext cx="14160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9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7">
                      <wp:simplePos x="0" y="0"/>
                      <wp:positionH relativeFrom="character">
                        <wp:align>left</wp:align>
                      </wp:positionH>
                      <wp:positionV relativeFrom="line">
                        <wp:posOffset>635</wp:posOffset>
                      </wp:positionV>
                      <wp:extent cx="313055" cy="175260"/>
                      <wp:effectExtent l="0" t="0" r="0" b="0"/>
                      <wp:wrapNone/>
                      <wp:docPr id="186" name="Frame186"/>
                      <a:graphic xmlns:a="http://schemas.openxmlformats.org/drawingml/2006/main">
                        <a:graphicData uri="http://schemas.microsoft.com/office/word/2010/wordprocessingShape">
                          <wps:wsp>
                            <wps:cNvSpPr txBox="1"/>
                            <wps:spPr>
                              <a:xfrm>
                                <a:off x="0" y="0"/>
                                <a:ext cx="31305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4.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8">
                      <wp:simplePos x="0" y="0"/>
                      <wp:positionH relativeFrom="character">
                        <wp:align>left</wp:align>
                      </wp:positionH>
                      <wp:positionV relativeFrom="line">
                        <wp:posOffset>635</wp:posOffset>
                      </wp:positionV>
                      <wp:extent cx="248285" cy="175260"/>
                      <wp:effectExtent l="0" t="0" r="0" b="0"/>
                      <wp:wrapNone/>
                      <wp:docPr id="187" name="Frame187"/>
                      <a:graphic xmlns:a="http://schemas.openxmlformats.org/drawingml/2006/main">
                        <a:graphicData uri="http://schemas.microsoft.com/office/word/2010/wordprocessingShape">
                          <wps:wsp>
                            <wps:cNvSpPr txBox="1"/>
                            <wps:spPr>
                              <a:xfrm>
                                <a:off x="0" y="0"/>
                                <a:ext cx="2482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5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9">
                      <wp:simplePos x="0" y="0"/>
                      <wp:positionH relativeFrom="character">
                        <wp:align>left</wp:align>
                      </wp:positionH>
                      <wp:positionV relativeFrom="line">
                        <wp:posOffset>635</wp:posOffset>
                      </wp:positionV>
                      <wp:extent cx="476885" cy="175260"/>
                      <wp:effectExtent l="0" t="0" r="0" b="0"/>
                      <wp:wrapNone/>
                      <wp:docPr id="188" name="Frame188"/>
                      <a:graphic xmlns:a="http://schemas.openxmlformats.org/drawingml/2006/main">
                        <a:graphicData uri="http://schemas.microsoft.com/office/word/2010/wordprocessingShape">
                          <wps:wsp>
                            <wps:cNvSpPr txBox="1"/>
                            <wps:spPr>
                              <a:xfrm>
                                <a:off x="0" y="0"/>
                                <a:ext cx="4768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7.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0">
                      <wp:simplePos x="0" y="0"/>
                      <wp:positionH relativeFrom="character">
                        <wp:align>left</wp:align>
                      </wp:positionH>
                      <wp:positionV relativeFrom="line">
                        <wp:posOffset>635</wp:posOffset>
                      </wp:positionV>
                      <wp:extent cx="200660" cy="175260"/>
                      <wp:effectExtent l="0" t="0" r="0" b="0"/>
                      <wp:wrapNone/>
                      <wp:docPr id="189" name="Frame189"/>
                      <a:graphic xmlns:a="http://schemas.openxmlformats.org/drawingml/2006/main">
                        <a:graphicData uri="http://schemas.microsoft.com/office/word/2010/wordprocessingShape">
                          <wps:wsp>
                            <wps:cNvSpPr txBox="1"/>
                            <wps:spPr>
                              <a:xfrm>
                                <a:off x="0" y="0"/>
                                <a:ext cx="2006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73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814"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Three months ended</w:t>
              <w:br/>
              <w:t>March 31,</w:t>
            </w:r>
          </w:p>
        </w:tc>
        <w:tc>
          <w:tcPr>
            <w:tcW w:w="391" w:type="dxa"/>
            <w:tcBorders/>
            <w:vAlign w:val="center"/>
          </w:tcPr>
          <w:p>
            <w:pPr>
              <w:pStyle w:val="TableContents"/>
              <w:bidi w:val="0"/>
              <w:spacing w:before="0" w:after="0"/>
              <w:ind w:left="0" w:right="0" w:hanging="0"/>
              <w:jc w:val="center"/>
              <w:rPr/>
            </w:pPr>
            <w:r>
              <w:rPr/>
              <w:t>​</w:t>
            </w:r>
          </w:p>
        </w:tc>
        <w:tc>
          <w:tcPr>
            <w:tcW w:w="751" w:type="dxa"/>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w:t>
            </w:r>
          </w:p>
        </w:tc>
        <w:tc>
          <w:tcPr>
            <w:tcW w:w="316" w:type="dxa"/>
            <w:tcBorders/>
            <w:vAlign w:val="center"/>
          </w:tcPr>
          <w:p>
            <w:pPr>
              <w:pStyle w:val="TableContents"/>
              <w:bidi w:val="0"/>
              <w:spacing w:before="0" w:after="0"/>
              <w:ind w:left="0" w:right="0" w:hanging="0"/>
              <w:jc w:val="left"/>
              <w:rPr/>
            </w:pPr>
            <w:r>
              <w:rPr/>
              <w:t>​</w:t>
            </w:r>
          </w:p>
        </w:tc>
      </w:tr>
      <w:tr>
        <w:trPr/>
        <w:tc>
          <w:tcPr>
            <w:tcW w:w="373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  ​ ​ ​</w:t>
            </w:r>
          </w:p>
        </w:tc>
        <w:tc>
          <w:tcPr>
            <w:tcW w:w="71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2025</w:t>
            </w:r>
          </w:p>
        </w:tc>
        <w:tc>
          <w:tcPr>
            <w:tcW w:w="382" w:type="dxa"/>
            <w:tcBorders/>
            <w:vAlign w:val="center"/>
          </w:tcPr>
          <w:p>
            <w:pPr>
              <w:pStyle w:val="TableContents"/>
              <w:bidi w:val="0"/>
              <w:spacing w:before="0" w:after="0"/>
              <w:ind w:left="0" w:right="0" w:hanging="0"/>
              <w:jc w:val="center"/>
              <w:rPr/>
            </w:pPr>
            <w:r>
              <w:rPr/>
              <w:t>  ​ ​ ​</w:t>
            </w:r>
          </w:p>
        </w:tc>
        <w:tc>
          <w:tcPr>
            <w:tcW w:w="71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2026</w:t>
            </w:r>
          </w:p>
        </w:tc>
        <w:tc>
          <w:tcPr>
            <w:tcW w:w="391" w:type="dxa"/>
            <w:tcBorders/>
            <w:vAlign w:val="center"/>
          </w:tcPr>
          <w:p>
            <w:pPr>
              <w:pStyle w:val="TableContents"/>
              <w:bidi w:val="0"/>
              <w:spacing w:before="0" w:after="0"/>
              <w:ind w:left="0" w:right="0" w:hanging="0"/>
              <w:jc w:val="center"/>
              <w:rPr/>
            </w:pPr>
            <w:r>
              <w:rPr/>
              <w:t>  ​ ​ ​</w:t>
            </w:r>
          </w:p>
        </w:tc>
        <w:tc>
          <w:tcPr>
            <w:tcW w:w="75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Change</w:t>
            </w:r>
          </w:p>
        </w:tc>
        <w:tc>
          <w:tcPr>
            <w:tcW w:w="316" w:type="dxa"/>
            <w:tcBorders/>
            <w:vAlign w:val="center"/>
          </w:tcPr>
          <w:p>
            <w:pPr>
              <w:pStyle w:val="TableContents"/>
              <w:bidi w:val="0"/>
              <w:spacing w:before="0" w:after="0"/>
              <w:ind w:left="0" w:right="0" w:hanging="0"/>
              <w:jc w:val="left"/>
              <w:rPr/>
            </w:pPr>
            <w:r>
              <w:rPr/>
              <w:t>​</w:t>
            </w:r>
          </w:p>
        </w:tc>
      </w:tr>
      <w:tr>
        <w:trPr/>
        <w:tc>
          <w:tcPr>
            <w:tcW w:w="7354" w:type="dxa"/>
            <w:gridSpan w:val="10"/>
            <w:tcBorders/>
            <w:vAlign w:val="center"/>
          </w:tcPr>
          <w:p>
            <w:pPr>
              <w:pStyle w:val="TableContents"/>
              <w:bidi w:val="0"/>
              <w:spacing w:before="0" w:after="283"/>
              <w:ind w:left="0" w:right="0" w:hanging="0"/>
              <w:jc w:val="left"/>
              <w:rPr>
                <w:sz w:val="4"/>
                <w:szCs w:val="4"/>
              </w:rPr>
            </w:pPr>
            <w:r>
              <w:rPr>
                <w:sz w:val="4"/>
                <w:szCs w:val="4"/>
              </w:rPr>
            </w:r>
          </w:p>
        </w:tc>
      </w:tr>
      <w:tr>
        <w:trPr/>
        <w:tc>
          <w:tcPr>
            <w:tcW w:w="373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814" w:type="dxa"/>
            <w:gridSpan w:val="5"/>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(In millions)</w:t>
            </w:r>
          </w:p>
        </w:tc>
        <w:tc>
          <w:tcPr>
            <w:tcW w:w="391" w:type="dxa"/>
            <w:tcBorders/>
            <w:vAlign w:val="center"/>
          </w:tcPr>
          <w:p>
            <w:pPr>
              <w:pStyle w:val="TableContents"/>
              <w:bidi w:val="0"/>
              <w:spacing w:before="0" w:after="0"/>
              <w:ind w:left="0" w:right="0" w:hanging="0"/>
              <w:jc w:val="center"/>
              <w:rPr/>
            </w:pPr>
            <w:r>
              <w:rPr/>
              <w:t>​</w:t>
            </w:r>
          </w:p>
        </w:tc>
        <w:tc>
          <w:tcPr>
            <w:tcW w:w="751" w:type="dxa"/>
            <w:tcBorders/>
            <w:vAlign w:val="center"/>
          </w:tcPr>
          <w:p>
            <w:pPr>
              <w:pStyle w:val="TableContents"/>
              <w:bidi w:val="0"/>
              <w:spacing w:before="0" w:after="0"/>
              <w:ind w:left="0" w:right="0" w:hanging="0"/>
              <w:jc w:val="center"/>
              <w:rPr/>
            </w:pPr>
            <w:r>
              <w:rPr/>
              <w:t>​</w:t>
            </w:r>
          </w:p>
        </w:tc>
        <w:tc>
          <w:tcPr>
            <w:tcW w:w="316" w:type="dxa"/>
            <w:tcBorders/>
            <w:vAlign w:val="center"/>
          </w:tcPr>
          <w:p>
            <w:pPr>
              <w:pStyle w:val="TableContents"/>
              <w:bidi w:val="0"/>
              <w:spacing w:before="0" w:after="0"/>
              <w:ind w:left="0" w:right="0" w:hanging="0"/>
              <w:jc w:val="center"/>
              <w:rPr/>
            </w:pPr>
            <w:r>
              <w:rPr/>
              <w:t>​</w:t>
            </w:r>
          </w:p>
        </w:tc>
      </w:tr>
      <w:tr>
        <w:trPr/>
        <w:tc>
          <w:tcPr>
            <w:tcW w:w="373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sales</w:t>
            </w:r>
          </w:p>
        </w:tc>
        <w:tc>
          <w:tcPr>
            <w:tcW w:w="346" w:type="dxa"/>
            <w:tcBorders/>
            <w:shd w:fill="CCEEFF" w:val="clear"/>
            <w:vAlign w:val="center"/>
          </w:tcPr>
          <w:p>
            <w:pPr>
              <w:pStyle w:val="TableContents"/>
              <w:bidi w:val="0"/>
              <w:spacing w:before="0" w:after="0"/>
              <w:ind w:left="0" w:right="0" w:hanging="0"/>
              <w:jc w:val="left"/>
              <w:rPr/>
            </w:pPr>
            <w:r>
              <w:rPr/>
              <w:t>​</w:t>
            </w:r>
          </w:p>
        </w:tc>
        <w:tc>
          <w:tcPr>
            <w:tcW w:w="223"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49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40.3</w:t>
            </w:r>
          </w:p>
        </w:tc>
        <w:tc>
          <w:tcPr>
            <w:tcW w:w="382" w:type="dxa"/>
            <w:tcBorders/>
            <w:shd w:fill="CCEEFF" w:val="clear"/>
            <w:vAlign w:val="center"/>
          </w:tcPr>
          <w:p>
            <w:pPr>
              <w:pStyle w:val="TableContents"/>
              <w:bidi w:val="0"/>
              <w:spacing w:before="0" w:after="0"/>
              <w:ind w:left="0" w:right="0" w:hanging="0"/>
              <w:jc w:val="left"/>
              <w:rPr/>
            </w:pPr>
            <w:r>
              <w:rPr/>
              <w:t>​</w:t>
            </w:r>
          </w:p>
        </w:tc>
        <w:tc>
          <w:tcPr>
            <w:tcW w:w="223"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493"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40.6</w:t>
            </w:r>
          </w:p>
        </w:tc>
        <w:tc>
          <w:tcPr>
            <w:tcW w:w="391" w:type="dxa"/>
            <w:tcBorders/>
            <w:shd w:fill="CCEEFF" w:val="clear"/>
            <w:vAlign w:val="center"/>
          </w:tcPr>
          <w:p>
            <w:pPr>
              <w:pStyle w:val="TableContents"/>
              <w:bidi w:val="0"/>
              <w:spacing w:before="0" w:after="0"/>
              <w:ind w:left="0" w:right="0" w:hanging="0"/>
              <w:jc w:val="left"/>
              <w:rPr/>
            </w:pPr>
            <w:r>
              <w:rPr/>
              <w:t> </w:t>
            </w:r>
          </w:p>
        </w:tc>
        <w:tc>
          <w:tcPr>
            <w:tcW w:w="75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w:t>
            </w:r>
          </w:p>
        </w:tc>
        <w:tc>
          <w:tcPr>
            <w:tcW w:w="31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373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Cost of sales</w:t>
            </w:r>
          </w:p>
        </w:tc>
        <w:tc>
          <w:tcPr>
            <w:tcW w:w="346" w:type="dxa"/>
            <w:tcBorders/>
            <w:vAlign w:val="center"/>
          </w:tcPr>
          <w:p>
            <w:pPr>
              <w:pStyle w:val="TableContents"/>
              <w:bidi w:val="0"/>
              <w:spacing w:before="0" w:after="0"/>
              <w:ind w:left="0" w:right="0" w:hanging="0"/>
              <w:jc w:val="left"/>
              <w:rPr/>
            </w:pPr>
            <w:r>
              <w:rPr/>
              <w:t>​</w:t>
            </w:r>
          </w:p>
        </w:tc>
        <w:tc>
          <w:tcPr>
            <w:tcW w:w="223"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493"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28.1</w:t>
            </w:r>
          </w:p>
        </w:tc>
        <w:tc>
          <w:tcPr>
            <w:tcW w:w="382" w:type="dxa"/>
            <w:tcBorders/>
            <w:vAlign w:val="center"/>
          </w:tcPr>
          <w:p>
            <w:pPr>
              <w:pStyle w:val="TableContents"/>
              <w:bidi w:val="0"/>
              <w:spacing w:before="0" w:after="0"/>
              <w:ind w:left="0" w:right="0" w:hanging="0"/>
              <w:jc w:val="left"/>
              <w:rPr/>
            </w:pPr>
            <w:r>
              <w:rPr/>
              <w:t>​</w:t>
            </w:r>
          </w:p>
        </w:tc>
        <w:tc>
          <w:tcPr>
            <w:tcW w:w="223"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493"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27.3</w:t>
            </w:r>
          </w:p>
        </w:tc>
        <w:tc>
          <w:tcPr>
            <w:tcW w:w="391" w:type="dxa"/>
            <w:tcBorders/>
            <w:vAlign w:val="center"/>
          </w:tcPr>
          <w:p>
            <w:pPr>
              <w:pStyle w:val="TableContents"/>
              <w:bidi w:val="0"/>
              <w:spacing w:before="0" w:after="0"/>
              <w:ind w:left="0" w:right="0" w:hanging="0"/>
              <w:jc w:val="left"/>
              <w:rPr/>
            </w:pPr>
            <w:r>
              <w:rPr/>
              <w:t> </w:t>
            </w:r>
          </w:p>
        </w:tc>
        <w:tc>
          <w:tcPr>
            <w:tcW w:w="75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w:t>
            </w:r>
          </w:p>
        </w:tc>
        <w:tc>
          <w:tcPr>
            <w:tcW w:w="316" w:type="dxa"/>
            <w:tcBorders/>
            <w:vAlign w:val="center"/>
          </w:tcPr>
          <w:p>
            <w:pPr>
              <w:pStyle w:val="TableContents"/>
              <w:bidi w:val="0"/>
              <w:spacing w:before="0" w:after="0"/>
              <w:ind w:left="0" w:right="0" w:hanging="0"/>
              <w:jc w:val="left"/>
              <w:rPr/>
            </w:pPr>
            <w:r>
              <w:rPr/>
              <w:t> </w:t>
            </w:r>
          </w:p>
        </w:tc>
      </w:tr>
      <w:tr>
        <w:trPr/>
        <w:tc>
          <w:tcPr>
            <w:tcW w:w="373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Gross margin</w:t>
            </w:r>
          </w:p>
        </w:tc>
        <w:tc>
          <w:tcPr>
            <w:tcW w:w="346" w:type="dxa"/>
            <w:tcBorders/>
            <w:shd w:fill="CCEEFF" w:val="clear"/>
            <w:vAlign w:val="center"/>
          </w:tcPr>
          <w:p>
            <w:pPr>
              <w:pStyle w:val="TableContents"/>
              <w:bidi w:val="0"/>
              <w:spacing w:before="0" w:after="0"/>
              <w:ind w:left="0" w:right="0" w:hanging="0"/>
              <w:jc w:val="left"/>
              <w:rPr/>
            </w:pPr>
            <w:r>
              <w:rPr/>
              <w:t>​</w:t>
            </w:r>
          </w:p>
        </w:tc>
        <w:tc>
          <w:tcPr>
            <w:tcW w:w="223" w:type="dxa"/>
            <w:tcBorders/>
            <w:shd w:fill="CCEEFF" w:val="clear"/>
            <w:vAlign w:val="center"/>
          </w:tcPr>
          <w:p>
            <w:pPr>
              <w:pStyle w:val="TableContents"/>
              <w:bidi w:val="0"/>
              <w:spacing w:before="0" w:after="0"/>
              <w:ind w:left="0" w:right="0" w:hanging="0"/>
              <w:jc w:val="left"/>
              <w:rPr/>
            </w:pPr>
            <w:r>
              <w:rPr/>
              <w:t> </w:t>
            </w:r>
          </w:p>
        </w:tc>
        <w:tc>
          <w:tcPr>
            <w:tcW w:w="49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12.2</w:t>
            </w:r>
          </w:p>
        </w:tc>
        <w:tc>
          <w:tcPr>
            <w:tcW w:w="382" w:type="dxa"/>
            <w:tcBorders/>
            <w:shd w:fill="CCEEFF" w:val="clear"/>
            <w:vAlign w:val="center"/>
          </w:tcPr>
          <w:p>
            <w:pPr>
              <w:pStyle w:val="TableContents"/>
              <w:bidi w:val="0"/>
              <w:spacing w:before="0" w:after="0"/>
              <w:ind w:left="0" w:right="0" w:hanging="0"/>
              <w:jc w:val="left"/>
              <w:rPr/>
            </w:pPr>
            <w:r>
              <w:rPr/>
              <w:t>​</w:t>
            </w:r>
          </w:p>
        </w:tc>
        <w:tc>
          <w:tcPr>
            <w:tcW w:w="223" w:type="dxa"/>
            <w:tcBorders/>
            <w:shd w:fill="CCEEFF" w:val="clear"/>
            <w:vAlign w:val="center"/>
          </w:tcPr>
          <w:p>
            <w:pPr>
              <w:pStyle w:val="TableContents"/>
              <w:bidi w:val="0"/>
              <w:spacing w:before="0" w:after="0"/>
              <w:ind w:left="0" w:right="0" w:hanging="0"/>
              <w:jc w:val="left"/>
              <w:rPr/>
            </w:pPr>
            <w:r>
              <w:rPr/>
              <w:t> </w:t>
            </w:r>
          </w:p>
        </w:tc>
        <w:tc>
          <w:tcPr>
            <w:tcW w:w="493"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13.3</w:t>
            </w:r>
          </w:p>
        </w:tc>
        <w:tc>
          <w:tcPr>
            <w:tcW w:w="391" w:type="dxa"/>
            <w:tcBorders/>
            <w:shd w:fill="CCEEFF" w:val="clear"/>
            <w:vAlign w:val="center"/>
          </w:tcPr>
          <w:p>
            <w:pPr>
              <w:pStyle w:val="TableContents"/>
              <w:bidi w:val="0"/>
              <w:spacing w:before="0" w:after="0"/>
              <w:ind w:left="0" w:right="0" w:hanging="0"/>
              <w:jc w:val="left"/>
              <w:rPr/>
            </w:pPr>
            <w:r>
              <w:rPr/>
              <w:t> </w:t>
            </w:r>
          </w:p>
        </w:tc>
        <w:tc>
          <w:tcPr>
            <w:tcW w:w="75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w:t>
            </w:r>
          </w:p>
        </w:tc>
        <w:tc>
          <w:tcPr>
            <w:tcW w:w="316" w:type="dxa"/>
            <w:tcBorders/>
            <w:shd w:fill="CCEEFF" w:val="clear"/>
            <w:vAlign w:val="center"/>
          </w:tcPr>
          <w:p>
            <w:pPr>
              <w:pStyle w:val="TableContents"/>
              <w:bidi w:val="0"/>
              <w:spacing w:before="0" w:after="0"/>
              <w:ind w:left="0" w:right="0" w:hanging="0"/>
              <w:jc w:val="left"/>
              <w:rPr/>
            </w:pPr>
            <w:r>
              <w:rPr/>
              <w:t> </w:t>
            </w:r>
          </w:p>
        </w:tc>
      </w:tr>
      <w:tr>
        <w:trPr/>
        <w:tc>
          <w:tcPr>
            <w:tcW w:w="373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Selling, general and administrative expenses</w:t>
            </w:r>
          </w:p>
        </w:tc>
        <w:tc>
          <w:tcPr>
            <w:tcW w:w="346" w:type="dxa"/>
            <w:tcBorders/>
            <w:vAlign w:val="center"/>
          </w:tcPr>
          <w:p>
            <w:pPr>
              <w:pStyle w:val="TableContents"/>
              <w:bidi w:val="0"/>
              <w:spacing w:before="0" w:after="0"/>
              <w:ind w:left="0" w:right="0" w:hanging="0"/>
              <w:jc w:val="left"/>
              <w:rPr/>
            </w:pPr>
            <w:r>
              <w:rPr/>
              <w:t>​</w:t>
            </w:r>
          </w:p>
        </w:tc>
        <w:tc>
          <w:tcPr>
            <w:tcW w:w="223"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493"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6.3</w:t>
            </w:r>
          </w:p>
        </w:tc>
        <w:tc>
          <w:tcPr>
            <w:tcW w:w="382" w:type="dxa"/>
            <w:tcBorders/>
            <w:vAlign w:val="center"/>
          </w:tcPr>
          <w:p>
            <w:pPr>
              <w:pStyle w:val="TableContents"/>
              <w:bidi w:val="0"/>
              <w:spacing w:before="0" w:after="0"/>
              <w:ind w:left="0" w:right="0" w:hanging="0"/>
              <w:jc w:val="left"/>
              <w:rPr/>
            </w:pPr>
            <w:r>
              <w:rPr/>
              <w:t>​</w:t>
            </w:r>
          </w:p>
        </w:tc>
        <w:tc>
          <w:tcPr>
            <w:tcW w:w="223"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493"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6.2</w:t>
            </w:r>
          </w:p>
        </w:tc>
        <w:tc>
          <w:tcPr>
            <w:tcW w:w="391" w:type="dxa"/>
            <w:tcBorders/>
            <w:vAlign w:val="center"/>
          </w:tcPr>
          <w:p>
            <w:pPr>
              <w:pStyle w:val="TableContents"/>
              <w:bidi w:val="0"/>
              <w:spacing w:before="0" w:after="0"/>
              <w:ind w:left="0" w:right="0" w:hanging="0"/>
              <w:jc w:val="left"/>
              <w:rPr/>
            </w:pPr>
            <w:r>
              <w:rPr/>
              <w:t> </w:t>
            </w:r>
          </w:p>
        </w:tc>
        <w:tc>
          <w:tcPr>
            <w:tcW w:w="75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w:t>
            </w:r>
          </w:p>
        </w:tc>
        <w:tc>
          <w:tcPr>
            <w:tcW w:w="316" w:type="dxa"/>
            <w:tcBorders/>
            <w:vAlign w:val="center"/>
          </w:tcPr>
          <w:p>
            <w:pPr>
              <w:pStyle w:val="TableContents"/>
              <w:bidi w:val="0"/>
              <w:spacing w:before="0" w:after="0"/>
              <w:ind w:left="0" w:right="0" w:hanging="0"/>
              <w:jc w:val="left"/>
              <w:rPr/>
            </w:pPr>
            <w:r>
              <w:rPr/>
              <w:t> </w:t>
            </w:r>
          </w:p>
        </w:tc>
      </w:tr>
      <w:tr>
        <w:trPr/>
        <w:tc>
          <w:tcPr>
            <w:tcW w:w="373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Segment profit (1)</w:t>
            </w:r>
          </w:p>
        </w:tc>
        <w:tc>
          <w:tcPr>
            <w:tcW w:w="346" w:type="dxa"/>
            <w:tcBorders/>
            <w:shd w:fill="CCEEFF" w:val="clear"/>
            <w:vAlign w:val="center"/>
          </w:tcPr>
          <w:p>
            <w:pPr>
              <w:pStyle w:val="TableContents"/>
              <w:bidi w:val="0"/>
              <w:spacing w:before="0" w:after="0"/>
              <w:ind w:left="0" w:right="0" w:hanging="0"/>
              <w:jc w:val="left"/>
              <w:rPr/>
            </w:pPr>
            <w:r>
              <w:rPr/>
              <w:t>​</w:t>
            </w:r>
          </w:p>
        </w:tc>
        <w:tc>
          <w:tcPr>
            <w:tcW w:w="223"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493"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5.9</w:t>
            </w:r>
          </w:p>
        </w:tc>
        <w:tc>
          <w:tcPr>
            <w:tcW w:w="382" w:type="dxa"/>
            <w:tcBorders/>
            <w:shd w:fill="CCEEFF" w:val="clear"/>
            <w:vAlign w:val="center"/>
          </w:tcPr>
          <w:p>
            <w:pPr>
              <w:pStyle w:val="TableContents"/>
              <w:bidi w:val="0"/>
              <w:spacing w:before="0" w:after="0"/>
              <w:ind w:left="0" w:right="0" w:hanging="0"/>
              <w:jc w:val="left"/>
              <w:rPr/>
            </w:pPr>
            <w:r>
              <w:rPr/>
              <w:t>​</w:t>
            </w:r>
          </w:p>
        </w:tc>
        <w:tc>
          <w:tcPr>
            <w:tcW w:w="223"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493"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7.1</w:t>
            </w:r>
          </w:p>
        </w:tc>
        <w:tc>
          <w:tcPr>
            <w:tcW w:w="391" w:type="dxa"/>
            <w:tcBorders/>
            <w:shd w:fill="CCEEFF" w:val="clear"/>
            <w:vAlign w:val="center"/>
          </w:tcPr>
          <w:p>
            <w:pPr>
              <w:pStyle w:val="TableContents"/>
              <w:bidi w:val="0"/>
              <w:spacing w:before="0" w:after="0"/>
              <w:ind w:left="0" w:right="0" w:hanging="0"/>
              <w:jc w:val="left"/>
              <w:rPr/>
            </w:pPr>
            <w:r>
              <w:rPr/>
              <w:t> </w:t>
            </w:r>
          </w:p>
        </w:tc>
        <w:tc>
          <w:tcPr>
            <w:tcW w:w="75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w:t>
            </w:r>
          </w:p>
        </w:tc>
        <w:tc>
          <w:tcPr>
            <w:tcW w:w="316" w:type="dxa"/>
            <w:tcBorders/>
            <w:shd w:fill="CCEEFF" w:val="clear"/>
            <w:vAlign w:val="center"/>
          </w:tcPr>
          <w:p>
            <w:pPr>
              <w:pStyle w:val="TableContents"/>
              <w:bidi w:val="0"/>
              <w:spacing w:before="0" w:after="0"/>
              <w:ind w:left="0" w:right="0" w:hanging="0"/>
              <w:jc w:val="left"/>
              <w:rPr/>
            </w:pPr>
            <w:r>
              <w:rPr/>
              <w:t> </w:t>
            </w:r>
          </w:p>
        </w:tc>
      </w:tr>
      <w:tr>
        <w:trPr/>
        <w:tc>
          <w:tcPr>
            <w:tcW w:w="373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23" w:type="dxa"/>
            <w:tcBorders/>
            <w:vAlign w:val="center"/>
          </w:tcPr>
          <w:p>
            <w:pPr>
              <w:pStyle w:val="TableContents"/>
              <w:bidi w:val="0"/>
              <w:spacing w:before="0" w:after="0"/>
              <w:ind w:left="0" w:right="0" w:hanging="0"/>
              <w:jc w:val="left"/>
              <w:rPr/>
            </w:pPr>
            <w:r>
              <w:rPr/>
              <w:t>​</w:t>
            </w:r>
          </w:p>
        </w:tc>
        <w:tc>
          <w:tcPr>
            <w:tcW w:w="493" w:type="dxa"/>
            <w:tcBorders/>
            <w:vAlign w:val="center"/>
          </w:tcPr>
          <w:p>
            <w:pPr>
              <w:pStyle w:val="TableContents"/>
              <w:bidi w:val="0"/>
              <w:spacing w:before="0" w:after="0"/>
              <w:ind w:left="0" w:right="0" w:hanging="0"/>
              <w:jc w:val="left"/>
              <w:rPr/>
            </w:pPr>
            <w:r>
              <w:rPr/>
              <w:t>​</w:t>
            </w:r>
          </w:p>
        </w:tc>
        <w:tc>
          <w:tcPr>
            <w:tcW w:w="382" w:type="dxa"/>
            <w:tcBorders/>
            <w:vAlign w:val="center"/>
          </w:tcPr>
          <w:p>
            <w:pPr>
              <w:pStyle w:val="TableContents"/>
              <w:bidi w:val="0"/>
              <w:spacing w:before="0" w:after="0"/>
              <w:ind w:left="0" w:right="0" w:hanging="0"/>
              <w:jc w:val="left"/>
              <w:rPr/>
            </w:pPr>
            <w:r>
              <w:rPr/>
              <w:t>​</w:t>
            </w:r>
          </w:p>
        </w:tc>
        <w:tc>
          <w:tcPr>
            <w:tcW w:w="223" w:type="dxa"/>
            <w:tcBorders/>
            <w:vAlign w:val="center"/>
          </w:tcPr>
          <w:p>
            <w:pPr>
              <w:pStyle w:val="TableContents"/>
              <w:bidi w:val="0"/>
              <w:spacing w:before="0" w:after="0"/>
              <w:ind w:left="0" w:right="0" w:hanging="0"/>
              <w:jc w:val="left"/>
              <w:rPr/>
            </w:pPr>
            <w:r>
              <w:rPr/>
              <w:t>​</w:t>
            </w:r>
          </w:p>
        </w:tc>
        <w:tc>
          <w:tcPr>
            <w:tcW w:w="493" w:type="dxa"/>
            <w:tcBorders/>
            <w:vAlign w:val="center"/>
          </w:tcPr>
          <w:p>
            <w:pPr>
              <w:pStyle w:val="TableContents"/>
              <w:bidi w:val="0"/>
              <w:spacing w:before="0" w:after="0"/>
              <w:ind w:left="0" w:right="0" w:hanging="0"/>
              <w:jc w:val="left"/>
              <w:rPr/>
            </w:pPr>
            <w:r>
              <w:rPr/>
              <w:t>​</w:t>
            </w:r>
          </w:p>
        </w:tc>
        <w:tc>
          <w:tcPr>
            <w:tcW w:w="391" w:type="dxa"/>
            <w:tcBorders/>
            <w:vAlign w:val="center"/>
          </w:tcPr>
          <w:p>
            <w:pPr>
              <w:pStyle w:val="TableContents"/>
              <w:bidi w:val="0"/>
              <w:spacing w:before="0" w:after="0"/>
              <w:ind w:left="0" w:right="0" w:hanging="0"/>
              <w:jc w:val="left"/>
              <w:rPr/>
            </w:pPr>
            <w:r>
              <w:rPr/>
              <w:t>​</w:t>
            </w:r>
          </w:p>
        </w:tc>
        <w:tc>
          <w:tcPr>
            <w:tcW w:w="751" w:type="dxa"/>
            <w:tcBorders/>
            <w:vAlign w:val="center"/>
          </w:tcPr>
          <w:p>
            <w:pPr>
              <w:pStyle w:val="TableContents"/>
              <w:bidi w:val="0"/>
              <w:spacing w:before="0" w:after="0"/>
              <w:ind w:left="0" w:right="0" w:hanging="0"/>
              <w:jc w:val="left"/>
              <w:rPr/>
            </w:pPr>
            <w:r>
              <w:rPr/>
              <w:t>​</w:t>
            </w:r>
          </w:p>
        </w:tc>
        <w:tc>
          <w:tcPr>
            <w:tcW w:w="316" w:type="dxa"/>
            <w:tcBorders/>
            <w:vAlign w:val="center"/>
          </w:tcPr>
          <w:p>
            <w:pPr>
              <w:pStyle w:val="TableContents"/>
              <w:bidi w:val="0"/>
              <w:spacing w:before="0" w:after="0"/>
              <w:ind w:left="0" w:right="0" w:hanging="0"/>
              <w:jc w:val="left"/>
              <w:rPr/>
            </w:pPr>
            <w:r>
              <w:rPr/>
              <w:t>​</w:t>
            </w:r>
          </w:p>
        </w:tc>
      </w:tr>
      <w:tr>
        <w:trPr/>
        <w:tc>
          <w:tcPr>
            <w:tcW w:w="373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Percentage of net sales:</w:t>
            </w:r>
          </w:p>
        </w:tc>
        <w:tc>
          <w:tcPr>
            <w:tcW w:w="346" w:type="dxa"/>
            <w:tcBorders/>
            <w:shd w:fill="CCEEFF" w:val="clear"/>
            <w:vAlign w:val="center"/>
          </w:tcPr>
          <w:p>
            <w:pPr>
              <w:pStyle w:val="TableContents"/>
              <w:bidi w:val="0"/>
              <w:spacing w:before="0" w:after="0"/>
              <w:ind w:left="0" w:right="0" w:hanging="0"/>
              <w:jc w:val="left"/>
              <w:rPr/>
            </w:pPr>
            <w:r>
              <w:rPr/>
              <w:t>​</w:t>
            </w:r>
          </w:p>
        </w:tc>
        <w:tc>
          <w:tcPr>
            <w:tcW w:w="223" w:type="dxa"/>
            <w:tcBorders/>
            <w:shd w:fill="CCEEFF" w:val="clear"/>
            <w:vAlign w:val="center"/>
          </w:tcPr>
          <w:p>
            <w:pPr>
              <w:pStyle w:val="TableContents"/>
              <w:bidi w:val="0"/>
              <w:spacing w:before="0" w:after="0"/>
              <w:ind w:left="0" w:right="0" w:hanging="0"/>
              <w:jc w:val="left"/>
              <w:rPr/>
            </w:pPr>
            <w:r>
              <w:rPr/>
              <w:t>​</w:t>
            </w:r>
          </w:p>
        </w:tc>
        <w:tc>
          <w:tcPr>
            <w:tcW w:w="493" w:type="dxa"/>
            <w:tcBorders/>
            <w:shd w:fill="CCEEFF" w:val="clear"/>
            <w:vAlign w:val="center"/>
          </w:tcPr>
          <w:p>
            <w:pPr>
              <w:pStyle w:val="TableContents"/>
              <w:bidi w:val="0"/>
              <w:spacing w:before="0" w:after="0"/>
              <w:ind w:left="0" w:right="0" w:hanging="0"/>
              <w:jc w:val="left"/>
              <w:rPr/>
            </w:pPr>
            <w:r>
              <w:rPr/>
              <w:t>​</w:t>
            </w:r>
          </w:p>
        </w:tc>
        <w:tc>
          <w:tcPr>
            <w:tcW w:w="382" w:type="dxa"/>
            <w:tcBorders/>
            <w:shd w:fill="CCEEFF" w:val="clear"/>
            <w:vAlign w:val="center"/>
          </w:tcPr>
          <w:p>
            <w:pPr>
              <w:pStyle w:val="TableContents"/>
              <w:bidi w:val="0"/>
              <w:spacing w:before="0" w:after="0"/>
              <w:ind w:left="0" w:right="0" w:hanging="0"/>
              <w:jc w:val="left"/>
              <w:rPr/>
            </w:pPr>
            <w:r>
              <w:rPr/>
              <w:t>​</w:t>
            </w:r>
          </w:p>
        </w:tc>
        <w:tc>
          <w:tcPr>
            <w:tcW w:w="223" w:type="dxa"/>
            <w:tcBorders/>
            <w:shd w:fill="CCEEFF" w:val="clear"/>
            <w:vAlign w:val="center"/>
          </w:tcPr>
          <w:p>
            <w:pPr>
              <w:pStyle w:val="TableContents"/>
              <w:bidi w:val="0"/>
              <w:spacing w:before="0" w:after="0"/>
              <w:ind w:left="0" w:right="0" w:hanging="0"/>
              <w:jc w:val="left"/>
              <w:rPr/>
            </w:pPr>
            <w:r>
              <w:rPr/>
              <w:t>​</w:t>
            </w:r>
          </w:p>
        </w:tc>
        <w:tc>
          <w:tcPr>
            <w:tcW w:w="493" w:type="dxa"/>
            <w:tcBorders/>
            <w:shd w:fill="CCEEFF" w:val="clear"/>
            <w:vAlign w:val="center"/>
          </w:tcPr>
          <w:p>
            <w:pPr>
              <w:pStyle w:val="TableContents"/>
              <w:bidi w:val="0"/>
              <w:spacing w:before="0" w:after="0"/>
              <w:ind w:left="0" w:right="0" w:hanging="0"/>
              <w:jc w:val="left"/>
              <w:rPr/>
            </w:pPr>
            <w:r>
              <w:rPr/>
              <w:t>​</w:t>
            </w:r>
          </w:p>
        </w:tc>
        <w:tc>
          <w:tcPr>
            <w:tcW w:w="391" w:type="dxa"/>
            <w:tcBorders/>
            <w:shd w:fill="CCEEFF" w:val="clear"/>
            <w:vAlign w:val="center"/>
          </w:tcPr>
          <w:p>
            <w:pPr>
              <w:pStyle w:val="TableContents"/>
              <w:bidi w:val="0"/>
              <w:spacing w:before="0" w:after="0"/>
              <w:ind w:left="0" w:right="0" w:hanging="0"/>
              <w:jc w:val="left"/>
              <w:rPr/>
            </w:pPr>
            <w:r>
              <w:rPr/>
              <w:t>​</w:t>
            </w:r>
          </w:p>
        </w:tc>
        <w:tc>
          <w:tcPr>
            <w:tcW w:w="751" w:type="dxa"/>
            <w:tcBorders/>
            <w:shd w:fill="CCEEFF" w:val="clear"/>
            <w:vAlign w:val="center"/>
          </w:tcPr>
          <w:p>
            <w:pPr>
              <w:pStyle w:val="TableContents"/>
              <w:bidi w:val="0"/>
              <w:spacing w:before="0" w:after="0"/>
              <w:ind w:left="0" w:right="0" w:hanging="0"/>
              <w:jc w:val="right"/>
              <w:rPr/>
            </w:pPr>
            <w:r>
              <w:rPr/>
              <w:t>  ​</w:t>
            </w:r>
          </w:p>
        </w:tc>
        <w:tc>
          <w:tcPr>
            <w:tcW w:w="316" w:type="dxa"/>
            <w:tcBorders/>
            <w:shd w:fill="CCEEFF" w:val="clear"/>
            <w:vAlign w:val="center"/>
          </w:tcPr>
          <w:p>
            <w:pPr>
              <w:pStyle w:val="TableContents"/>
              <w:bidi w:val="0"/>
              <w:spacing w:before="0" w:after="0"/>
              <w:ind w:left="0" w:right="0" w:hanging="0"/>
              <w:jc w:val="left"/>
              <w:rPr/>
            </w:pPr>
            <w:r>
              <w:rPr/>
              <w:t>​</w:t>
            </w:r>
          </w:p>
        </w:tc>
      </w:tr>
      <w:tr>
        <w:trPr/>
        <w:tc>
          <w:tcPr>
            <w:tcW w:w="373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Cost of sales</w:t>
            </w:r>
          </w:p>
        </w:tc>
        <w:tc>
          <w:tcPr>
            <w:tcW w:w="346" w:type="dxa"/>
            <w:tcBorders/>
            <w:vAlign w:val="center"/>
          </w:tcPr>
          <w:p>
            <w:pPr>
              <w:pStyle w:val="TableContents"/>
              <w:bidi w:val="0"/>
              <w:spacing w:before="0" w:after="0"/>
              <w:ind w:left="0" w:right="0" w:hanging="0"/>
              <w:jc w:val="left"/>
              <w:rPr/>
            </w:pPr>
            <w:r>
              <w:rPr/>
              <w:t>​</w:t>
            </w:r>
          </w:p>
        </w:tc>
        <w:tc>
          <w:tcPr>
            <w:tcW w:w="223" w:type="dxa"/>
            <w:tcBorders/>
            <w:vAlign w:val="center"/>
          </w:tcPr>
          <w:p>
            <w:pPr>
              <w:pStyle w:val="TableContents"/>
              <w:bidi w:val="0"/>
              <w:spacing w:before="0" w:after="0"/>
              <w:ind w:left="0" w:right="0" w:hanging="0"/>
              <w:jc w:val="left"/>
              <w:rPr/>
            </w:pPr>
            <w:r>
              <w:rPr/>
              <w:t> </w:t>
            </w:r>
          </w:p>
        </w:tc>
        <w:tc>
          <w:tcPr>
            <w:tcW w:w="493"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70</w:t>
            </w:r>
          </w:p>
        </w:tc>
        <w:tc>
          <w:tcPr>
            <w:tcW w:w="382"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c>
          <w:tcPr>
            <w:tcW w:w="223" w:type="dxa"/>
            <w:tcBorders/>
            <w:vAlign w:val="center"/>
          </w:tcPr>
          <w:p>
            <w:pPr>
              <w:pStyle w:val="TableContents"/>
              <w:bidi w:val="0"/>
              <w:spacing w:before="0" w:after="0"/>
              <w:ind w:left="0" w:right="0" w:hanging="0"/>
              <w:jc w:val="left"/>
              <w:rPr/>
            </w:pPr>
            <w:r>
              <w:rPr/>
              <w:t> </w:t>
            </w:r>
          </w:p>
        </w:tc>
        <w:tc>
          <w:tcPr>
            <w:tcW w:w="493" w:type="dxa"/>
            <w:tcBorders/>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67</w:t>
            </w:r>
          </w:p>
        </w:tc>
        <w:tc>
          <w:tcPr>
            <w:tcW w:w="391"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  </w:t>
            </w:r>
          </w:p>
        </w:tc>
        <w:tc>
          <w:tcPr>
            <w:tcW w:w="751" w:type="dxa"/>
            <w:tcBorders/>
            <w:vAlign w:val="center"/>
          </w:tcPr>
          <w:p>
            <w:pPr>
              <w:pStyle w:val="TableContents"/>
              <w:bidi w:val="0"/>
              <w:spacing w:before="0" w:after="0"/>
              <w:ind w:left="0" w:right="0" w:hanging="0"/>
              <w:jc w:val="right"/>
              <w:rPr/>
            </w:pPr>
            <w:r>
              <w:rPr/>
              <w:t>  ​</w:t>
            </w:r>
          </w:p>
        </w:tc>
        <w:tc>
          <w:tcPr>
            <w:tcW w:w="316" w:type="dxa"/>
            <w:tcBorders/>
            <w:vAlign w:val="center"/>
          </w:tcPr>
          <w:p>
            <w:pPr>
              <w:pStyle w:val="TableContents"/>
              <w:bidi w:val="0"/>
              <w:spacing w:before="0" w:after="0"/>
              <w:ind w:left="0" w:right="0" w:hanging="0"/>
              <w:jc w:val="left"/>
              <w:rPr/>
            </w:pPr>
            <w:r>
              <w:rPr/>
              <w:t> </w:t>
            </w:r>
          </w:p>
        </w:tc>
      </w:tr>
      <w:tr>
        <w:trPr/>
        <w:tc>
          <w:tcPr>
            <w:tcW w:w="373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Gross margin</w:t>
            </w:r>
          </w:p>
        </w:tc>
        <w:tc>
          <w:tcPr>
            <w:tcW w:w="346" w:type="dxa"/>
            <w:tcBorders/>
            <w:shd w:fill="CCEEFF" w:val="clear"/>
            <w:vAlign w:val="center"/>
          </w:tcPr>
          <w:p>
            <w:pPr>
              <w:pStyle w:val="TableContents"/>
              <w:bidi w:val="0"/>
              <w:spacing w:before="0" w:after="0"/>
              <w:ind w:left="0" w:right="0" w:hanging="0"/>
              <w:jc w:val="left"/>
              <w:rPr/>
            </w:pPr>
            <w:r>
              <w:rPr/>
              <w:t>​</w:t>
            </w:r>
          </w:p>
        </w:tc>
        <w:tc>
          <w:tcPr>
            <w:tcW w:w="223" w:type="dxa"/>
            <w:tcBorders/>
            <w:shd w:fill="CCEEFF" w:val="clear"/>
            <w:vAlign w:val="center"/>
          </w:tcPr>
          <w:p>
            <w:pPr>
              <w:pStyle w:val="TableContents"/>
              <w:bidi w:val="0"/>
              <w:spacing w:before="0" w:after="0"/>
              <w:ind w:left="0" w:right="0" w:hanging="0"/>
              <w:jc w:val="left"/>
              <w:rPr/>
            </w:pPr>
            <w:r>
              <w:rPr/>
              <w:t> </w:t>
            </w:r>
          </w:p>
        </w:tc>
        <w:tc>
          <w:tcPr>
            <w:tcW w:w="49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30</w:t>
            </w:r>
          </w:p>
        </w:tc>
        <w:tc>
          <w:tcPr>
            <w:tcW w:w="382" w:type="dxa"/>
            <w:tcBorders/>
            <w:shd w:fill="CCEEFF" w:val="clear"/>
            <w:vAlign w:val="center"/>
          </w:tcPr>
          <w:p>
            <w:pPr>
              <w:pStyle w:val="TableContents"/>
              <w:bidi w:val="0"/>
              <w:spacing w:before="0" w:after="0"/>
              <w:ind w:left="0" w:right="0" w:hanging="0"/>
              <w:jc w:val="left"/>
              <w:rPr/>
            </w:pPr>
            <w:r>
              <w:rPr/>
              <w:t>​</w:t>
            </w:r>
          </w:p>
        </w:tc>
        <w:tc>
          <w:tcPr>
            <w:tcW w:w="223" w:type="dxa"/>
            <w:tcBorders/>
            <w:shd w:fill="CCEEFF" w:val="clear"/>
            <w:vAlign w:val="center"/>
          </w:tcPr>
          <w:p>
            <w:pPr>
              <w:pStyle w:val="TableContents"/>
              <w:bidi w:val="0"/>
              <w:spacing w:before="0" w:after="0"/>
              <w:ind w:left="0" w:right="0" w:hanging="0"/>
              <w:jc w:val="left"/>
              <w:rPr/>
            </w:pPr>
            <w:r>
              <w:rPr/>
              <w:t> </w:t>
            </w:r>
          </w:p>
        </w:tc>
        <w:tc>
          <w:tcPr>
            <w:tcW w:w="493"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33</w:t>
            </w:r>
          </w:p>
        </w:tc>
        <w:tc>
          <w:tcPr>
            <w:tcW w:w="391" w:type="dxa"/>
            <w:tcBorders/>
            <w:shd w:fill="CCEEFF" w:val="clear"/>
            <w:vAlign w:val="center"/>
          </w:tcPr>
          <w:p>
            <w:pPr>
              <w:pStyle w:val="TableContents"/>
              <w:bidi w:val="0"/>
              <w:spacing w:before="0" w:after="0"/>
              <w:ind w:left="0" w:right="0" w:hanging="0"/>
              <w:jc w:val="left"/>
              <w:rPr/>
            </w:pPr>
            <w:r>
              <w:rPr/>
              <w:t> </w:t>
            </w:r>
          </w:p>
        </w:tc>
        <w:tc>
          <w:tcPr>
            <w:tcW w:w="751" w:type="dxa"/>
            <w:tcBorders/>
            <w:shd w:fill="CCEEFF" w:val="clear"/>
            <w:vAlign w:val="center"/>
          </w:tcPr>
          <w:p>
            <w:pPr>
              <w:pStyle w:val="TableContents"/>
              <w:bidi w:val="0"/>
              <w:spacing w:before="0" w:after="0"/>
              <w:ind w:left="0" w:right="0" w:hanging="0"/>
              <w:jc w:val="right"/>
              <w:rPr/>
            </w:pPr>
            <w:r>
              <w:rPr/>
              <w:t>  ​</w:t>
            </w:r>
          </w:p>
        </w:tc>
        <w:tc>
          <w:tcPr>
            <w:tcW w:w="316" w:type="dxa"/>
            <w:tcBorders/>
            <w:shd w:fill="CCEEFF" w:val="clear"/>
            <w:vAlign w:val="center"/>
          </w:tcPr>
          <w:p>
            <w:pPr>
              <w:pStyle w:val="TableContents"/>
              <w:bidi w:val="0"/>
              <w:spacing w:before="0" w:after="0"/>
              <w:ind w:left="0" w:right="0" w:hanging="0"/>
              <w:jc w:val="left"/>
              <w:rPr/>
            </w:pPr>
            <w:r>
              <w:rPr/>
              <w:t> </w:t>
            </w:r>
          </w:p>
        </w:tc>
      </w:tr>
      <w:tr>
        <w:trPr/>
        <w:tc>
          <w:tcPr>
            <w:tcW w:w="373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Selling, general and administrative expenses</w:t>
            </w:r>
          </w:p>
        </w:tc>
        <w:tc>
          <w:tcPr>
            <w:tcW w:w="346" w:type="dxa"/>
            <w:tcBorders/>
            <w:vAlign w:val="center"/>
          </w:tcPr>
          <w:p>
            <w:pPr>
              <w:pStyle w:val="TableContents"/>
              <w:bidi w:val="0"/>
              <w:spacing w:before="0" w:after="0"/>
              <w:ind w:left="0" w:right="0" w:hanging="0"/>
              <w:jc w:val="left"/>
              <w:rPr/>
            </w:pPr>
            <w:r>
              <w:rPr/>
              <w:t>​</w:t>
            </w:r>
          </w:p>
        </w:tc>
        <w:tc>
          <w:tcPr>
            <w:tcW w:w="223" w:type="dxa"/>
            <w:tcBorders/>
            <w:vAlign w:val="center"/>
          </w:tcPr>
          <w:p>
            <w:pPr>
              <w:pStyle w:val="TableContents"/>
              <w:bidi w:val="0"/>
              <w:spacing w:before="0" w:after="0"/>
              <w:ind w:left="0" w:right="0" w:hanging="0"/>
              <w:jc w:val="left"/>
              <w:rPr/>
            </w:pPr>
            <w:r>
              <w:rPr/>
              <w:t> </w:t>
            </w:r>
          </w:p>
        </w:tc>
        <w:tc>
          <w:tcPr>
            <w:tcW w:w="493"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w:t>
            </w:r>
          </w:p>
        </w:tc>
        <w:tc>
          <w:tcPr>
            <w:tcW w:w="382" w:type="dxa"/>
            <w:tcBorders/>
            <w:vAlign w:val="center"/>
          </w:tcPr>
          <w:p>
            <w:pPr>
              <w:pStyle w:val="TableContents"/>
              <w:bidi w:val="0"/>
              <w:spacing w:before="0" w:after="0"/>
              <w:ind w:left="0" w:right="0" w:hanging="0"/>
              <w:jc w:val="left"/>
              <w:rPr/>
            </w:pPr>
            <w:r>
              <w:rPr/>
              <w:t>​</w:t>
            </w:r>
          </w:p>
        </w:tc>
        <w:tc>
          <w:tcPr>
            <w:tcW w:w="223" w:type="dxa"/>
            <w:tcBorders/>
            <w:vAlign w:val="center"/>
          </w:tcPr>
          <w:p>
            <w:pPr>
              <w:pStyle w:val="TableContents"/>
              <w:bidi w:val="0"/>
              <w:spacing w:before="0" w:after="0"/>
              <w:ind w:left="0" w:right="0" w:hanging="0"/>
              <w:jc w:val="left"/>
              <w:rPr/>
            </w:pPr>
            <w:r>
              <w:rPr/>
              <w:t> </w:t>
            </w:r>
          </w:p>
        </w:tc>
        <w:tc>
          <w:tcPr>
            <w:tcW w:w="493" w:type="dxa"/>
            <w:tcBorders/>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15</w:t>
            </w:r>
          </w:p>
        </w:tc>
        <w:tc>
          <w:tcPr>
            <w:tcW w:w="391" w:type="dxa"/>
            <w:tcBorders/>
            <w:vAlign w:val="center"/>
          </w:tcPr>
          <w:p>
            <w:pPr>
              <w:pStyle w:val="TableContents"/>
              <w:bidi w:val="0"/>
              <w:spacing w:before="0" w:after="0"/>
              <w:ind w:left="0" w:right="0" w:hanging="0"/>
              <w:jc w:val="left"/>
              <w:rPr/>
            </w:pPr>
            <w:r>
              <w:rPr/>
              <w:t>​</w:t>
            </w:r>
          </w:p>
        </w:tc>
        <w:tc>
          <w:tcPr>
            <w:tcW w:w="751" w:type="dxa"/>
            <w:tcBorders/>
            <w:vAlign w:val="center"/>
          </w:tcPr>
          <w:p>
            <w:pPr>
              <w:pStyle w:val="TableContents"/>
              <w:bidi w:val="0"/>
              <w:spacing w:before="0" w:after="0"/>
              <w:ind w:left="0" w:right="0" w:hanging="0"/>
              <w:jc w:val="right"/>
              <w:rPr/>
            </w:pPr>
            <w:r>
              <w:rPr/>
              <w:t>  ​</w:t>
            </w:r>
          </w:p>
        </w:tc>
        <w:tc>
          <w:tcPr>
            <w:tcW w:w="316" w:type="dxa"/>
            <w:tcBorders/>
            <w:vAlign w:val="center"/>
          </w:tcPr>
          <w:p>
            <w:pPr>
              <w:pStyle w:val="TableContents"/>
              <w:bidi w:val="0"/>
              <w:spacing w:before="0" w:after="0"/>
              <w:ind w:left="0" w:right="0" w:hanging="0"/>
              <w:jc w:val="left"/>
              <w:rPr/>
            </w:pPr>
            <w:r>
              <w:rPr/>
              <w:t> </w:t>
            </w:r>
          </w:p>
        </w:tc>
      </w:tr>
      <w:tr>
        <w:trPr/>
        <w:tc>
          <w:tcPr>
            <w:tcW w:w="373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Segment profit</w:t>
            </w:r>
          </w:p>
        </w:tc>
        <w:tc>
          <w:tcPr>
            <w:tcW w:w="346" w:type="dxa"/>
            <w:tcBorders/>
            <w:shd w:fill="CCEEFF" w:val="clear"/>
            <w:vAlign w:val="center"/>
          </w:tcPr>
          <w:p>
            <w:pPr>
              <w:pStyle w:val="TableContents"/>
              <w:bidi w:val="0"/>
              <w:spacing w:before="0" w:after="0"/>
              <w:ind w:left="0" w:right="0" w:hanging="0"/>
              <w:jc w:val="left"/>
              <w:rPr/>
            </w:pPr>
            <w:r>
              <w:rPr/>
              <w:t>​</w:t>
            </w:r>
          </w:p>
        </w:tc>
        <w:tc>
          <w:tcPr>
            <w:tcW w:w="223" w:type="dxa"/>
            <w:tcBorders/>
            <w:shd w:fill="CCEEFF" w:val="clear"/>
            <w:vAlign w:val="center"/>
          </w:tcPr>
          <w:p>
            <w:pPr>
              <w:pStyle w:val="TableContents"/>
              <w:bidi w:val="0"/>
              <w:spacing w:before="0" w:after="0"/>
              <w:ind w:left="0" w:right="0" w:hanging="0"/>
              <w:jc w:val="left"/>
              <w:rPr/>
            </w:pPr>
            <w:r>
              <w:rPr/>
              <w:t> </w:t>
            </w:r>
          </w:p>
        </w:tc>
        <w:tc>
          <w:tcPr>
            <w:tcW w:w="49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w:t>
            </w:r>
          </w:p>
        </w:tc>
        <w:tc>
          <w:tcPr>
            <w:tcW w:w="382" w:type="dxa"/>
            <w:tcBorders/>
            <w:shd w:fill="CCEEFF" w:val="clear"/>
            <w:vAlign w:val="center"/>
          </w:tcPr>
          <w:p>
            <w:pPr>
              <w:pStyle w:val="TableContents"/>
              <w:bidi w:val="0"/>
              <w:spacing w:before="0" w:after="0"/>
              <w:ind w:left="0" w:right="0" w:hanging="0"/>
              <w:jc w:val="left"/>
              <w:rPr/>
            </w:pPr>
            <w:r>
              <w:rPr/>
              <w:t>​</w:t>
            </w:r>
          </w:p>
        </w:tc>
        <w:tc>
          <w:tcPr>
            <w:tcW w:w="223" w:type="dxa"/>
            <w:tcBorders/>
            <w:shd w:fill="CCEEFF" w:val="clear"/>
            <w:vAlign w:val="center"/>
          </w:tcPr>
          <w:p>
            <w:pPr>
              <w:pStyle w:val="TableContents"/>
              <w:bidi w:val="0"/>
              <w:spacing w:before="0" w:after="0"/>
              <w:ind w:left="0" w:right="0" w:hanging="0"/>
              <w:jc w:val="left"/>
              <w:rPr/>
            </w:pPr>
            <w:r>
              <w:rPr/>
              <w:t> </w:t>
            </w:r>
          </w:p>
        </w:tc>
        <w:tc>
          <w:tcPr>
            <w:tcW w:w="493"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17</w:t>
            </w:r>
          </w:p>
        </w:tc>
        <w:tc>
          <w:tcPr>
            <w:tcW w:w="391" w:type="dxa"/>
            <w:tcBorders/>
            <w:shd w:fill="CCEEFF" w:val="clear"/>
            <w:vAlign w:val="center"/>
          </w:tcPr>
          <w:p>
            <w:pPr>
              <w:pStyle w:val="TableContents"/>
              <w:bidi w:val="0"/>
              <w:spacing w:before="0" w:after="0"/>
              <w:ind w:left="0" w:right="0" w:hanging="0"/>
              <w:jc w:val="left"/>
              <w:rPr/>
            </w:pPr>
            <w:r>
              <w:rPr/>
              <w:t> </w:t>
            </w:r>
          </w:p>
        </w:tc>
        <w:tc>
          <w:tcPr>
            <w:tcW w:w="751" w:type="dxa"/>
            <w:tcBorders/>
            <w:shd w:fill="CCEEFF" w:val="clear"/>
            <w:vAlign w:val="center"/>
          </w:tcPr>
          <w:p>
            <w:pPr>
              <w:pStyle w:val="TableContents"/>
              <w:bidi w:val="0"/>
              <w:spacing w:before="0" w:after="0"/>
              <w:ind w:left="0" w:right="0" w:hanging="0"/>
              <w:jc w:val="left"/>
              <w:rPr/>
            </w:pPr>
            <w:r>
              <w:rPr/>
              <w:t>​</w:t>
            </w:r>
          </w:p>
        </w:tc>
        <w:tc>
          <w:tcPr>
            <w:tcW w:w="316" w:type="dxa"/>
            <w:tcBorders/>
            <w:shd w:fill="CCEEFF" w:val="clear"/>
            <w:vAlign w:val="center"/>
          </w:tcPr>
          <w:p>
            <w:pPr>
              <w:pStyle w:val="TableContents"/>
              <w:bidi w:val="0"/>
              <w:spacing w:before="0" w:after="0"/>
              <w:ind w:left="0" w:right="0" w:hanging="0"/>
              <w:jc w:val="left"/>
              <w:rPr/>
            </w:pPr>
            <w:r>
              <w:rPr/>
              <w:t>​</w:t>
            </w:r>
          </w:p>
        </w:tc>
      </w:tr>
    </w:tbl>
    <w:p>
      <w:pPr>
        <w:pStyle w:val="TextBody"/>
        <w:bidi w:val="0"/>
        <w:spacing w:before="0" w:after="0"/>
        <w:ind w:left="0" w:right="0" w:hanging="0"/>
        <w:jc w:val="both"/>
        <w:rPr/>
      </w:pPr>
      <w:r>
        <w:rPr/>
        <w:t>​</w:t>
      </w:r>
    </w:p>
    <w:tbl>
      <w:tblPr>
        <w:tblW w:w="10205" w:type="dxa"/>
        <w:jc w:val="left"/>
        <w:tblInd w:w="0" w:type="dxa"/>
        <w:tblLayout w:type="fixed"/>
        <w:tblCellMar>
          <w:top w:w="28" w:type="dxa"/>
          <w:left w:w="28" w:type="dxa"/>
          <w:bottom w:w="28" w:type="dxa"/>
          <w:right w:w="28" w:type="dxa"/>
        </w:tblCellMar>
      </w:tblPr>
      <w:tblGrid>
        <w:gridCol w:w="124"/>
        <w:gridCol w:w="305"/>
        <w:gridCol w:w="9776"/>
      </w:tblGrid>
      <w:tr>
        <w:trPr/>
        <w:tc>
          <w:tcPr>
            <w:tcW w:w="124" w:type="dxa"/>
            <w:tcBorders/>
            <w:vAlign w:val="center"/>
          </w:tcPr>
          <w:p>
            <w:pPr>
              <w:pStyle w:val="TableContents"/>
              <w:bidi w:val="0"/>
              <w:spacing w:before="0" w:after="283"/>
              <w:jc w:val="left"/>
              <w:rPr>
                <w:sz w:val="4"/>
                <w:szCs w:val="4"/>
              </w:rPr>
            </w:pPr>
            <w:r>
              <w:rPr>
                <w:sz w:val="4"/>
                <w:szCs w:val="4"/>
              </w:rPr>
            </w:r>
          </w:p>
        </w:tc>
        <w:tc>
          <w:tcPr>
            <w:tcW w:w="30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w:t>
            </w:r>
          </w:p>
        </w:tc>
        <w:tc>
          <w:tcPr>
            <w:tcW w:w="977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use segment profit to assess the performance of CompX. Segment profit is defined as gross margin less selling, general and administrative expenses directly attributable to CompX’s operations.</w:t>
            </w:r>
          </w:p>
        </w:tc>
      </w:tr>
    </w:tbl>
    <w:p>
      <w:pPr>
        <w:pStyle w:val="TextBody"/>
        <w:bidi w:val="0"/>
        <w:spacing w:before="240" w:after="240"/>
        <w:ind w:left="0" w:right="0" w:firstLine="720"/>
        <w:jc w:val="both"/>
        <w:rPr>
          <w:rFonts w:ascii="Times New Roman;Times;serif" w:hAnsi="Times New Roman;Times;serif"/>
          <w:sz w:val="20"/>
        </w:rPr>
      </w:pPr>
      <w:r>
        <w:rPr>
          <w:rFonts w:ascii="Times New Roman;Times;serif" w:hAnsi="Times New Roman;Times;serif"/>
          <w:b/>
          <w:i/>
          <w:sz w:val="20"/>
        </w:rPr>
        <w:t>Net sales </w:t>
      </w:r>
      <w:r>
        <w:rPr>
          <w:rFonts w:ascii="Times New Roman;Times;serif" w:hAnsi="Times New Roman;Times;serif"/>
          <w:sz w:val="20"/>
        </w:rPr>
        <w:t>– CompX’s net sales increased $.3 million in the first quarter of 2026 compared to the same period in 2025 primarily due to higher Marine Components sales to the industrial market partially offset by lower Security Products sales. See discussion of reporting units below.</w:t>
      </w:r>
    </w:p>
    <w:p>
      <w:pPr>
        <w:pStyle w:val="TextBody"/>
        <w:bidi w:val="0"/>
        <w:spacing w:before="240" w:after="240"/>
        <w:ind w:left="0" w:right="0" w:firstLine="720"/>
        <w:jc w:val="both"/>
        <w:rPr>
          <w:rFonts w:ascii="Times New Roman;Times;serif" w:hAnsi="Times New Roman;Times;serif"/>
          <w:sz w:val="20"/>
        </w:rPr>
      </w:pPr>
      <w:r>
        <w:rPr>
          <w:rFonts w:ascii="Times New Roman;Times;serif" w:hAnsi="Times New Roman;Times;serif"/>
          <w:b/>
          <w:i/>
          <w:sz w:val="20"/>
        </w:rPr>
        <w:t>Cost of sales and gross margin </w:t>
      </w:r>
      <w:r>
        <w:rPr>
          <w:rFonts w:ascii="Times New Roman;Times;serif" w:hAnsi="Times New Roman;Times;serif"/>
          <w:sz w:val="20"/>
        </w:rPr>
        <w:t>– CompX’s cost of sales as a percentage of sales decreased 3% in the first quarter of 2026 compared to the same period in 2025. As a result, gross margin as a percentage of net sales increased over the same period. Gross margin percentage increased in the first quarter of 2026 compared to the same period in 2025 primarily due to higher gross margin percentage at Security Products. See discussion of reporting units below.</w:t>
      </w:r>
    </w:p>
    <w:p>
      <w:pPr>
        <w:pStyle w:val="TextBody"/>
        <w:bidi w:val="0"/>
        <w:spacing w:before="240" w:after="240"/>
        <w:ind w:left="0" w:right="0" w:firstLine="720"/>
        <w:jc w:val="both"/>
        <w:rPr>
          <w:rFonts w:ascii="Times New Roman;Times;serif" w:hAnsi="Times New Roman;Times;serif"/>
          <w:sz w:val="20"/>
        </w:rPr>
      </w:pPr>
      <w:r>
        <w:rPr>
          <w:rFonts w:ascii="Times New Roman;Times;serif" w:hAnsi="Times New Roman;Times;serif"/>
          <w:b/>
          <w:i/>
          <w:sz w:val="20"/>
        </w:rPr>
        <w:t>Selling, general and administrative expenses </w:t>
      </w:r>
      <w:r>
        <w:rPr>
          <w:rFonts w:ascii="Times New Roman;Times;serif" w:hAnsi="Times New Roman;Times;serif"/>
          <w:sz w:val="20"/>
        </w:rPr>
        <w:t>– CompX’s selling, general and administrative expenses consist primarily of personnel costs, sales commissions and advertising expenses directly related to product sales and administrative costs relating to CompX’s business unit and corporate management activities, as well as any gains and losses on property and equipment. CompX’s selling, general and administrative expenses for the first quarter of 2026 were comparable to the same period in 2025. CompX’s selling, general and administrative expenses as a percentage of net sales for the first quarter of 2026 decreased slightly due to increased coverage of selling, general and administrative expenses as a result of higher sales.</w:t>
      </w:r>
    </w:p>
    <w:p>
      <w:pPr>
        <w:pStyle w:val="TextBody"/>
        <w:bidi w:val="0"/>
        <w:spacing w:before="240" w:after="240"/>
        <w:ind w:left="0" w:right="0" w:firstLine="720"/>
        <w:jc w:val="both"/>
        <w:rPr>
          <w:rFonts w:ascii="Times New Roman;Times;serif" w:hAnsi="Times New Roman;Times;serif"/>
          <w:sz w:val="20"/>
        </w:rPr>
      </w:pPr>
      <w:r>
        <w:rPr>
          <w:rFonts w:ascii="Times New Roman;Times;serif" w:hAnsi="Times New Roman;Times;serif"/>
          <w:b/>
          <w:i/>
          <w:sz w:val="20"/>
        </w:rPr>
        <w:t>Segment profit </w:t>
      </w:r>
      <w:r>
        <w:rPr>
          <w:rFonts w:ascii="Times New Roman;Times;serif" w:hAnsi="Times New Roman;Times;serif"/>
          <w:sz w:val="20"/>
        </w:rPr>
        <w:t>– As a percentage of net sales, CompX’s segment profit for the first quarter of 2026 increased compared to the same period of 2025 and was primarily impacted by the factors impacting sales, cost of sales, gross margin and selling, general and administrative expenses.  See discussion of reporting units below.</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21</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firstLine="720"/>
        <w:jc w:val="both"/>
        <w:rPr>
          <w:rFonts w:ascii="Times New Roman;Times;serif" w:hAnsi="Times New Roman;Times;serif"/>
          <w:b/>
          <w:i/>
          <w:sz w:val="20"/>
        </w:rPr>
      </w:pPr>
      <w:r>
        <w:rPr>
          <w:rFonts w:ascii="Times New Roman;Times;serif" w:hAnsi="Times New Roman;Times;serif"/>
          <w:b/>
          <w:i/>
          <w:sz w:val="20"/>
        </w:rPr>
        <w:t>Results by reporting unit</w:t>
      </w:r>
    </w:p>
    <w:p>
      <w:pPr>
        <w:pStyle w:val="TextBody"/>
        <w:bidi w:val="0"/>
        <w:spacing w:before="240" w:after="240"/>
        <w:ind w:left="0" w:right="0" w:firstLine="720"/>
        <w:jc w:val="both"/>
        <w:rPr>
          <w:rFonts w:ascii="Times New Roman;Times;serif" w:hAnsi="Times New Roman;Times;serif"/>
          <w:sz w:val="20"/>
        </w:rPr>
      </w:pPr>
      <w:r>
        <w:rPr>
          <w:rFonts w:ascii="Times New Roman;Times;serif" w:hAnsi="Times New Roman;Times;serif"/>
          <w:sz w:val="20"/>
        </w:rPr>
        <w:t>The key performance indicator for CompX’s reporting units is the level of their reporting unit profit (see discussion below). Reporting unit results exclude CompX corporate expenses.</w:t>
      </w:r>
    </w:p>
    <w:tbl>
      <w:tblPr>
        <w:tblW w:w="6963" w:type="dxa"/>
        <w:jc w:val="left"/>
        <w:tblInd w:w="0" w:type="dxa"/>
        <w:tblLayout w:type="fixed"/>
        <w:tblCellMar>
          <w:top w:w="0" w:type="dxa"/>
          <w:left w:w="0" w:type="dxa"/>
          <w:bottom w:w="0" w:type="dxa"/>
          <w:right w:w="0" w:type="dxa"/>
        </w:tblCellMar>
      </w:tblPr>
      <w:tblGrid>
        <w:gridCol w:w="3736"/>
        <w:gridCol w:w="223"/>
        <w:gridCol w:w="493"/>
        <w:gridCol w:w="382"/>
        <w:gridCol w:w="223"/>
        <w:gridCol w:w="493"/>
        <w:gridCol w:w="346"/>
        <w:gridCol w:w="751"/>
        <w:gridCol w:w="316"/>
      </w:tblGrid>
      <w:tr>
        <w:trPr/>
        <w:tc>
          <w:tcPr>
            <w:tcW w:w="37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1">
                      <wp:simplePos x="0" y="0"/>
                      <wp:positionH relativeFrom="character">
                        <wp:align>left</wp:align>
                      </wp:positionH>
                      <wp:positionV relativeFrom="line">
                        <wp:posOffset>635</wp:posOffset>
                      </wp:positionV>
                      <wp:extent cx="2372360" cy="175260"/>
                      <wp:effectExtent l="0" t="0" r="0" b="0"/>
                      <wp:wrapNone/>
                      <wp:docPr id="190" name="Frame190"/>
                      <a:graphic xmlns:a="http://schemas.openxmlformats.org/drawingml/2006/main">
                        <a:graphicData uri="http://schemas.microsoft.com/office/word/2010/wordprocessingShape">
                          <wps:wsp>
                            <wps:cNvSpPr txBox="1"/>
                            <wps:spPr>
                              <a:xfrm>
                                <a:off x="0" y="0"/>
                                <a:ext cx="23723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6.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2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2">
                      <wp:simplePos x="0" y="0"/>
                      <wp:positionH relativeFrom="character">
                        <wp:align>left</wp:align>
                      </wp:positionH>
                      <wp:positionV relativeFrom="line">
                        <wp:posOffset>635</wp:posOffset>
                      </wp:positionV>
                      <wp:extent cx="141605" cy="175260"/>
                      <wp:effectExtent l="0" t="0" r="0" b="0"/>
                      <wp:wrapNone/>
                      <wp:docPr id="191" name="Frame191"/>
                      <a:graphic xmlns:a="http://schemas.openxmlformats.org/drawingml/2006/main">
                        <a:graphicData uri="http://schemas.microsoft.com/office/word/2010/wordprocessingShape">
                          <wps:wsp>
                            <wps:cNvSpPr txBox="1"/>
                            <wps:spPr>
                              <a:xfrm>
                                <a:off x="0" y="0"/>
                                <a:ext cx="14160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9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3">
                      <wp:simplePos x="0" y="0"/>
                      <wp:positionH relativeFrom="character">
                        <wp:align>left</wp:align>
                      </wp:positionH>
                      <wp:positionV relativeFrom="line">
                        <wp:posOffset>635</wp:posOffset>
                      </wp:positionV>
                      <wp:extent cx="313055" cy="175260"/>
                      <wp:effectExtent l="0" t="0" r="0" b="0"/>
                      <wp:wrapNone/>
                      <wp:docPr id="192" name="Frame192"/>
                      <a:graphic xmlns:a="http://schemas.openxmlformats.org/drawingml/2006/main">
                        <a:graphicData uri="http://schemas.microsoft.com/office/word/2010/wordprocessingShape">
                          <wps:wsp>
                            <wps:cNvSpPr txBox="1"/>
                            <wps:spPr>
                              <a:xfrm>
                                <a:off x="0" y="0"/>
                                <a:ext cx="31305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4.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8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4">
                      <wp:simplePos x="0" y="0"/>
                      <wp:positionH relativeFrom="character">
                        <wp:align>left</wp:align>
                      </wp:positionH>
                      <wp:positionV relativeFrom="line">
                        <wp:posOffset>635</wp:posOffset>
                      </wp:positionV>
                      <wp:extent cx="242570" cy="175260"/>
                      <wp:effectExtent l="0" t="0" r="0" b="0"/>
                      <wp:wrapNone/>
                      <wp:docPr id="193" name="Frame193"/>
                      <a:graphic xmlns:a="http://schemas.openxmlformats.org/drawingml/2006/main">
                        <a:graphicData uri="http://schemas.microsoft.com/office/word/2010/wordprocessingShape">
                          <wps:wsp>
                            <wps:cNvSpPr txBox="1"/>
                            <wps:spPr>
                              <a:xfrm>
                                <a:off x="0" y="0"/>
                                <a:ext cx="24257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2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5">
                      <wp:simplePos x="0" y="0"/>
                      <wp:positionH relativeFrom="character">
                        <wp:align>left</wp:align>
                      </wp:positionH>
                      <wp:positionV relativeFrom="line">
                        <wp:posOffset>635</wp:posOffset>
                      </wp:positionV>
                      <wp:extent cx="141605" cy="175260"/>
                      <wp:effectExtent l="0" t="0" r="0" b="0"/>
                      <wp:wrapNone/>
                      <wp:docPr id="194" name="Frame194"/>
                      <a:graphic xmlns:a="http://schemas.openxmlformats.org/drawingml/2006/main">
                        <a:graphicData uri="http://schemas.microsoft.com/office/word/2010/wordprocessingShape">
                          <wps:wsp>
                            <wps:cNvSpPr txBox="1"/>
                            <wps:spPr>
                              <a:xfrm>
                                <a:off x="0" y="0"/>
                                <a:ext cx="14160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9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6">
                      <wp:simplePos x="0" y="0"/>
                      <wp:positionH relativeFrom="character">
                        <wp:align>left</wp:align>
                      </wp:positionH>
                      <wp:positionV relativeFrom="line">
                        <wp:posOffset>635</wp:posOffset>
                      </wp:positionV>
                      <wp:extent cx="313055" cy="175260"/>
                      <wp:effectExtent l="0" t="0" r="0" b="0"/>
                      <wp:wrapNone/>
                      <wp:docPr id="195" name="Frame195"/>
                      <a:graphic xmlns:a="http://schemas.openxmlformats.org/drawingml/2006/main">
                        <a:graphicData uri="http://schemas.microsoft.com/office/word/2010/wordprocessingShape">
                          <wps:wsp>
                            <wps:cNvSpPr txBox="1"/>
                            <wps:spPr>
                              <a:xfrm>
                                <a:off x="0" y="0"/>
                                <a:ext cx="31305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4.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7">
                      <wp:simplePos x="0" y="0"/>
                      <wp:positionH relativeFrom="character">
                        <wp:align>left</wp:align>
                      </wp:positionH>
                      <wp:positionV relativeFrom="line">
                        <wp:posOffset>635</wp:posOffset>
                      </wp:positionV>
                      <wp:extent cx="219710" cy="175260"/>
                      <wp:effectExtent l="0" t="0" r="0" b="0"/>
                      <wp:wrapNone/>
                      <wp:docPr id="196" name="Frame196"/>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5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8">
                      <wp:simplePos x="0" y="0"/>
                      <wp:positionH relativeFrom="character">
                        <wp:align>left</wp:align>
                      </wp:positionH>
                      <wp:positionV relativeFrom="line">
                        <wp:posOffset>635</wp:posOffset>
                      </wp:positionV>
                      <wp:extent cx="476885" cy="175260"/>
                      <wp:effectExtent l="0" t="0" r="0" b="0"/>
                      <wp:wrapNone/>
                      <wp:docPr id="197" name="Frame197"/>
                      <a:graphic xmlns:a="http://schemas.openxmlformats.org/drawingml/2006/main">
                        <a:graphicData uri="http://schemas.microsoft.com/office/word/2010/wordprocessingShape">
                          <wps:wsp>
                            <wps:cNvSpPr txBox="1"/>
                            <wps:spPr>
                              <a:xfrm>
                                <a:off x="0" y="0"/>
                                <a:ext cx="4768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7.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9">
                      <wp:simplePos x="0" y="0"/>
                      <wp:positionH relativeFrom="character">
                        <wp:align>left</wp:align>
                      </wp:positionH>
                      <wp:positionV relativeFrom="line">
                        <wp:posOffset>635</wp:posOffset>
                      </wp:positionV>
                      <wp:extent cx="200660" cy="175260"/>
                      <wp:effectExtent l="0" t="0" r="0" b="0"/>
                      <wp:wrapNone/>
                      <wp:docPr id="198" name="Frame198"/>
                      <a:graphic xmlns:a="http://schemas.openxmlformats.org/drawingml/2006/main">
                        <a:graphicData uri="http://schemas.microsoft.com/office/word/2010/wordprocessingShape">
                          <wps:wsp>
                            <wps:cNvSpPr txBox="1"/>
                            <wps:spPr>
                              <a:xfrm>
                                <a:off x="0" y="0"/>
                                <a:ext cx="2006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736" w:type="dxa"/>
            <w:tcBorders/>
            <w:vAlign w:val="center"/>
          </w:tcPr>
          <w:p>
            <w:pPr>
              <w:pStyle w:val="TableContents"/>
              <w:bidi w:val="0"/>
              <w:spacing w:before="0" w:after="0"/>
              <w:ind w:left="0" w:right="0" w:hanging="0"/>
              <w:jc w:val="left"/>
              <w:rPr/>
            </w:pPr>
            <w:r>
              <w:rPr/>
              <w:t>​</w:t>
            </w:r>
          </w:p>
        </w:tc>
        <w:tc>
          <w:tcPr>
            <w:tcW w:w="1814"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Three months ended</w:t>
              <w:br/>
              <w:t>March 31,</w:t>
            </w:r>
          </w:p>
        </w:tc>
        <w:tc>
          <w:tcPr>
            <w:tcW w:w="346" w:type="dxa"/>
            <w:tcBorders/>
            <w:vAlign w:val="center"/>
          </w:tcPr>
          <w:p>
            <w:pPr>
              <w:pStyle w:val="TableContents"/>
              <w:bidi w:val="0"/>
              <w:spacing w:before="0" w:after="0"/>
              <w:ind w:left="0" w:right="0" w:hanging="0"/>
              <w:jc w:val="center"/>
              <w:rPr/>
            </w:pPr>
            <w:r>
              <w:rPr/>
              <w:t>​</w:t>
            </w:r>
          </w:p>
        </w:tc>
        <w:tc>
          <w:tcPr>
            <w:tcW w:w="751" w:type="dxa"/>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w:t>
            </w:r>
          </w:p>
        </w:tc>
        <w:tc>
          <w:tcPr>
            <w:tcW w:w="316" w:type="dxa"/>
            <w:tcBorders/>
            <w:vAlign w:val="center"/>
          </w:tcPr>
          <w:p>
            <w:pPr>
              <w:pStyle w:val="TableContents"/>
              <w:bidi w:val="0"/>
              <w:spacing w:before="0" w:after="0"/>
              <w:ind w:left="0" w:right="0" w:hanging="0"/>
              <w:jc w:val="center"/>
              <w:rPr/>
            </w:pPr>
            <w:r>
              <w:rPr/>
              <w:t>​</w:t>
            </w:r>
          </w:p>
        </w:tc>
      </w:tr>
      <w:tr>
        <w:trPr/>
        <w:tc>
          <w:tcPr>
            <w:tcW w:w="3736" w:type="dxa"/>
            <w:tcBorders/>
            <w:vAlign w:val="center"/>
          </w:tcPr>
          <w:p>
            <w:pPr>
              <w:pStyle w:val="TableContents"/>
              <w:bidi w:val="0"/>
              <w:spacing w:before="0" w:after="0"/>
              <w:ind w:left="0" w:right="0" w:hanging="0"/>
              <w:jc w:val="left"/>
              <w:rPr/>
            </w:pPr>
            <w:r>
              <w:rPr/>
              <w:t>​</w:t>
            </w:r>
          </w:p>
        </w:tc>
        <w:tc>
          <w:tcPr>
            <w:tcW w:w="71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2025</w:t>
            </w:r>
          </w:p>
        </w:tc>
        <w:tc>
          <w:tcPr>
            <w:tcW w:w="382" w:type="dxa"/>
            <w:tcBorders/>
            <w:vAlign w:val="center"/>
          </w:tcPr>
          <w:p>
            <w:pPr>
              <w:pStyle w:val="TableContents"/>
              <w:bidi w:val="0"/>
              <w:spacing w:before="0" w:after="0"/>
              <w:ind w:left="0" w:right="0" w:hanging="0"/>
              <w:jc w:val="center"/>
              <w:rPr/>
            </w:pPr>
            <w:r>
              <w:rPr/>
              <w:t>  ​ ​ ​</w:t>
            </w:r>
          </w:p>
        </w:tc>
        <w:tc>
          <w:tcPr>
            <w:tcW w:w="71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2026</w:t>
            </w:r>
          </w:p>
        </w:tc>
        <w:tc>
          <w:tcPr>
            <w:tcW w:w="346" w:type="dxa"/>
            <w:tcBorders/>
            <w:vAlign w:val="center"/>
          </w:tcPr>
          <w:p>
            <w:pPr>
              <w:pStyle w:val="TableContents"/>
              <w:bidi w:val="0"/>
              <w:spacing w:before="0" w:after="0"/>
              <w:ind w:left="0" w:right="0" w:hanging="0"/>
              <w:jc w:val="center"/>
              <w:rPr/>
            </w:pPr>
            <w:r>
              <w:rPr/>
              <w:t>  ​ ​ ​</w:t>
            </w:r>
          </w:p>
        </w:tc>
        <w:tc>
          <w:tcPr>
            <w:tcW w:w="75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Change</w:t>
            </w:r>
          </w:p>
        </w:tc>
        <w:tc>
          <w:tcPr>
            <w:tcW w:w="316" w:type="dxa"/>
            <w:tcBorders/>
            <w:vAlign w:val="center"/>
          </w:tcPr>
          <w:p>
            <w:pPr>
              <w:pStyle w:val="TableContents"/>
              <w:bidi w:val="0"/>
              <w:spacing w:before="0" w:after="0"/>
              <w:ind w:left="0" w:right="0" w:hanging="0"/>
              <w:jc w:val="left"/>
              <w:rPr/>
            </w:pPr>
            <w:r>
              <w:rPr/>
              <w:t>​</w:t>
            </w:r>
          </w:p>
        </w:tc>
      </w:tr>
      <w:tr>
        <w:trPr/>
        <w:tc>
          <w:tcPr>
            <w:tcW w:w="6963" w:type="dxa"/>
            <w:gridSpan w:val="9"/>
            <w:tcBorders/>
            <w:vAlign w:val="center"/>
          </w:tcPr>
          <w:p>
            <w:pPr>
              <w:pStyle w:val="TableContents"/>
              <w:bidi w:val="0"/>
              <w:spacing w:before="0" w:after="283"/>
              <w:ind w:left="0" w:right="0" w:hanging="0"/>
              <w:jc w:val="left"/>
              <w:rPr>
                <w:sz w:val="4"/>
                <w:szCs w:val="4"/>
              </w:rPr>
            </w:pPr>
            <w:r>
              <w:rPr>
                <w:sz w:val="4"/>
                <w:szCs w:val="4"/>
              </w:rPr>
            </w:r>
          </w:p>
        </w:tc>
      </w:tr>
      <w:tr>
        <w:trPr/>
        <w:tc>
          <w:tcPr>
            <w:tcW w:w="3736" w:type="dxa"/>
            <w:tcBorders/>
            <w:vAlign w:val="center"/>
          </w:tcPr>
          <w:p>
            <w:pPr>
              <w:pStyle w:val="TableContents"/>
              <w:bidi w:val="0"/>
              <w:spacing w:before="0" w:after="0"/>
              <w:ind w:left="0" w:right="0" w:hanging="0"/>
              <w:jc w:val="left"/>
              <w:rPr/>
            </w:pPr>
            <w:r>
              <w:rPr/>
              <w:t>​</w:t>
            </w:r>
          </w:p>
        </w:tc>
        <w:tc>
          <w:tcPr>
            <w:tcW w:w="1814" w:type="dxa"/>
            <w:gridSpan w:val="5"/>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(In millions)</w:t>
            </w:r>
          </w:p>
        </w:tc>
        <w:tc>
          <w:tcPr>
            <w:tcW w:w="346" w:type="dxa"/>
            <w:tcBorders/>
            <w:vAlign w:val="center"/>
          </w:tcPr>
          <w:p>
            <w:pPr>
              <w:pStyle w:val="TableContents"/>
              <w:bidi w:val="0"/>
              <w:spacing w:before="0" w:after="0"/>
              <w:ind w:left="0" w:right="0" w:hanging="0"/>
              <w:jc w:val="center"/>
              <w:rPr/>
            </w:pPr>
            <w:r>
              <w:rPr/>
              <w:t>​</w:t>
            </w:r>
          </w:p>
        </w:tc>
        <w:tc>
          <w:tcPr>
            <w:tcW w:w="751" w:type="dxa"/>
            <w:tcBorders/>
            <w:vAlign w:val="center"/>
          </w:tcPr>
          <w:p>
            <w:pPr>
              <w:pStyle w:val="TableContents"/>
              <w:bidi w:val="0"/>
              <w:spacing w:before="0" w:after="0"/>
              <w:ind w:left="0" w:right="0" w:hanging="0"/>
              <w:jc w:val="center"/>
              <w:rPr/>
            </w:pPr>
            <w:r>
              <w:rPr/>
              <w:t>​</w:t>
            </w:r>
          </w:p>
        </w:tc>
        <w:tc>
          <w:tcPr>
            <w:tcW w:w="316" w:type="dxa"/>
            <w:tcBorders/>
            <w:vAlign w:val="center"/>
          </w:tcPr>
          <w:p>
            <w:pPr>
              <w:pStyle w:val="TableContents"/>
              <w:bidi w:val="0"/>
              <w:spacing w:before="0" w:after="0"/>
              <w:ind w:left="0" w:right="0" w:hanging="0"/>
              <w:jc w:val="center"/>
              <w:rPr/>
            </w:pPr>
            <w:r>
              <w:rPr/>
              <w:t>​</w:t>
            </w:r>
          </w:p>
        </w:tc>
      </w:tr>
      <w:tr>
        <w:trPr/>
        <w:tc>
          <w:tcPr>
            <w:tcW w:w="373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Security Products:</w:t>
            </w:r>
          </w:p>
        </w:tc>
        <w:tc>
          <w:tcPr>
            <w:tcW w:w="223" w:type="dxa"/>
            <w:tcBorders/>
            <w:shd w:fill="CCEEFF" w:val="clear"/>
            <w:vAlign w:val="center"/>
          </w:tcPr>
          <w:p>
            <w:pPr>
              <w:pStyle w:val="TableContents"/>
              <w:bidi w:val="0"/>
              <w:spacing w:before="0" w:after="0"/>
              <w:ind w:left="0" w:right="0" w:hanging="0"/>
              <w:jc w:val="left"/>
              <w:rPr/>
            </w:pPr>
            <w:r>
              <w:rPr/>
              <w:t>​</w:t>
            </w:r>
          </w:p>
        </w:tc>
        <w:tc>
          <w:tcPr>
            <w:tcW w:w="493" w:type="dxa"/>
            <w:tcBorders/>
            <w:shd w:fill="CCEEFF" w:val="clear"/>
            <w:vAlign w:val="center"/>
          </w:tcPr>
          <w:p>
            <w:pPr>
              <w:pStyle w:val="TableContents"/>
              <w:bidi w:val="0"/>
              <w:spacing w:before="0" w:after="0"/>
              <w:ind w:left="0" w:right="0" w:hanging="0"/>
              <w:jc w:val="right"/>
              <w:rPr/>
            </w:pPr>
            <w:r>
              <w:rPr/>
              <w:t>  ​</w:t>
            </w:r>
          </w:p>
        </w:tc>
        <w:tc>
          <w:tcPr>
            <w:tcW w:w="382" w:type="dxa"/>
            <w:tcBorders/>
            <w:shd w:fill="CCEEFF" w:val="clear"/>
            <w:vAlign w:val="center"/>
          </w:tcPr>
          <w:p>
            <w:pPr>
              <w:pStyle w:val="TableContents"/>
              <w:bidi w:val="0"/>
              <w:spacing w:before="0" w:after="0"/>
              <w:ind w:left="0" w:right="0" w:hanging="0"/>
              <w:jc w:val="left"/>
              <w:rPr/>
            </w:pPr>
            <w:r>
              <w:rPr/>
              <w:t> </w:t>
            </w:r>
          </w:p>
        </w:tc>
        <w:tc>
          <w:tcPr>
            <w:tcW w:w="223" w:type="dxa"/>
            <w:tcBorders/>
            <w:shd w:fill="CCEEFF" w:val="clear"/>
            <w:vAlign w:val="center"/>
          </w:tcPr>
          <w:p>
            <w:pPr>
              <w:pStyle w:val="TableContents"/>
              <w:bidi w:val="0"/>
              <w:spacing w:before="0" w:after="0"/>
              <w:ind w:left="0" w:right="0" w:hanging="0"/>
              <w:jc w:val="left"/>
              <w:rPr/>
            </w:pPr>
            <w:r>
              <w:rPr/>
              <w:t>​</w:t>
            </w:r>
          </w:p>
        </w:tc>
        <w:tc>
          <w:tcPr>
            <w:tcW w:w="493" w:type="dxa"/>
            <w:tcBorders/>
            <w:shd w:fill="CCEEFF" w:val="clear"/>
            <w:vAlign w:val="center"/>
          </w:tcPr>
          <w:p>
            <w:pPr>
              <w:pStyle w:val="TableContents"/>
              <w:bidi w:val="0"/>
              <w:spacing w:before="0" w:after="0"/>
              <w:ind w:left="0" w:right="0" w:hanging="0"/>
              <w:jc w:val="right"/>
              <w:rPr/>
            </w:pPr>
            <w:r>
              <w:rPr/>
              <w:t>  ​</w:t>
            </w:r>
          </w:p>
        </w:tc>
        <w:tc>
          <w:tcPr>
            <w:tcW w:w="346" w:type="dxa"/>
            <w:tcBorders/>
            <w:shd w:fill="CCEEFF" w:val="clear"/>
            <w:vAlign w:val="center"/>
          </w:tcPr>
          <w:p>
            <w:pPr>
              <w:pStyle w:val="TableContents"/>
              <w:bidi w:val="0"/>
              <w:spacing w:before="0" w:after="0"/>
              <w:ind w:left="0" w:right="0" w:hanging="0"/>
              <w:jc w:val="left"/>
              <w:rPr/>
            </w:pPr>
            <w:r>
              <w:rPr/>
              <w:t> </w:t>
            </w:r>
          </w:p>
        </w:tc>
        <w:tc>
          <w:tcPr>
            <w:tcW w:w="751" w:type="dxa"/>
            <w:tcBorders/>
            <w:shd w:fill="CCEEFF" w:val="clear"/>
            <w:vAlign w:val="center"/>
          </w:tcPr>
          <w:p>
            <w:pPr>
              <w:pStyle w:val="TableContents"/>
              <w:bidi w:val="0"/>
              <w:spacing w:before="0" w:after="0"/>
              <w:ind w:left="0" w:right="0" w:hanging="0"/>
              <w:jc w:val="center"/>
              <w:rPr/>
            </w:pPr>
            <w:r>
              <w:rPr/>
              <w:t>​</w:t>
            </w:r>
          </w:p>
        </w:tc>
        <w:tc>
          <w:tcPr>
            <w:tcW w:w="316" w:type="dxa"/>
            <w:tcBorders/>
            <w:shd w:fill="CCEEFF" w:val="clear"/>
            <w:vAlign w:val="center"/>
          </w:tcPr>
          <w:p>
            <w:pPr>
              <w:pStyle w:val="TableContents"/>
              <w:bidi w:val="0"/>
              <w:spacing w:before="0" w:after="0"/>
              <w:ind w:left="0" w:right="0" w:hanging="0"/>
              <w:jc w:val="left"/>
              <w:rPr/>
            </w:pPr>
            <w:r>
              <w:rPr/>
              <w:t>​</w:t>
            </w:r>
          </w:p>
        </w:tc>
      </w:tr>
      <w:tr>
        <w:trPr/>
        <w:tc>
          <w:tcPr>
            <w:tcW w:w="373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sales</w:t>
            </w:r>
          </w:p>
        </w:tc>
        <w:tc>
          <w:tcPr>
            <w:tcW w:w="223"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493"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30.2</w:t>
            </w:r>
          </w:p>
        </w:tc>
        <w:tc>
          <w:tcPr>
            <w:tcW w:w="382" w:type="dxa"/>
            <w:tcBorders/>
            <w:vAlign w:val="center"/>
          </w:tcPr>
          <w:p>
            <w:pPr>
              <w:pStyle w:val="TableContents"/>
              <w:bidi w:val="0"/>
              <w:spacing w:before="0" w:after="0"/>
              <w:ind w:left="0" w:right="0" w:hanging="0"/>
              <w:jc w:val="left"/>
              <w:rPr/>
            </w:pPr>
            <w:r>
              <w:rPr/>
              <w:t>​</w:t>
            </w:r>
          </w:p>
        </w:tc>
        <w:tc>
          <w:tcPr>
            <w:tcW w:w="223"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493" w:type="dxa"/>
            <w:tcBorders/>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29.9</w:t>
            </w:r>
          </w:p>
        </w:tc>
        <w:tc>
          <w:tcPr>
            <w:tcW w:w="346" w:type="dxa"/>
            <w:tcBorders/>
            <w:vAlign w:val="center"/>
          </w:tcPr>
          <w:p>
            <w:pPr>
              <w:pStyle w:val="TableContents"/>
              <w:bidi w:val="0"/>
              <w:spacing w:before="0" w:after="0"/>
              <w:ind w:left="0" w:right="0" w:hanging="0"/>
              <w:jc w:val="left"/>
              <w:rPr/>
            </w:pPr>
            <w:r>
              <w:rPr/>
              <w:t> </w:t>
            </w:r>
          </w:p>
        </w:tc>
        <w:tc>
          <w:tcPr>
            <w:tcW w:w="75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w:t>
            </w:r>
          </w:p>
        </w:tc>
        <w:tc>
          <w:tcPr>
            <w:tcW w:w="31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373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Cost of sales</w:t>
            </w:r>
          </w:p>
        </w:tc>
        <w:tc>
          <w:tcPr>
            <w:tcW w:w="223"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493"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21.2</w:t>
            </w:r>
          </w:p>
        </w:tc>
        <w:tc>
          <w:tcPr>
            <w:tcW w:w="382" w:type="dxa"/>
            <w:tcBorders/>
            <w:shd w:fill="CCEEFF" w:val="clear"/>
            <w:vAlign w:val="center"/>
          </w:tcPr>
          <w:p>
            <w:pPr>
              <w:pStyle w:val="TableContents"/>
              <w:bidi w:val="0"/>
              <w:spacing w:before="0" w:after="0"/>
              <w:ind w:left="0" w:right="0" w:hanging="0"/>
              <w:jc w:val="left"/>
              <w:rPr/>
            </w:pPr>
            <w:r>
              <w:rPr/>
              <w:t>​</w:t>
            </w:r>
          </w:p>
        </w:tc>
        <w:tc>
          <w:tcPr>
            <w:tcW w:w="223"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493"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19.9</w:t>
            </w:r>
          </w:p>
        </w:tc>
        <w:tc>
          <w:tcPr>
            <w:tcW w:w="346" w:type="dxa"/>
            <w:tcBorders/>
            <w:shd w:fill="CCEEFF" w:val="clear"/>
            <w:vAlign w:val="center"/>
          </w:tcPr>
          <w:p>
            <w:pPr>
              <w:pStyle w:val="TableContents"/>
              <w:bidi w:val="0"/>
              <w:spacing w:before="0" w:after="0"/>
              <w:ind w:left="0" w:right="0" w:hanging="0"/>
              <w:jc w:val="left"/>
              <w:rPr/>
            </w:pPr>
            <w:r>
              <w:rPr/>
              <w:t> </w:t>
            </w:r>
          </w:p>
        </w:tc>
        <w:tc>
          <w:tcPr>
            <w:tcW w:w="75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w:t>
            </w:r>
          </w:p>
        </w:tc>
        <w:tc>
          <w:tcPr>
            <w:tcW w:w="316" w:type="dxa"/>
            <w:tcBorders/>
            <w:shd w:fill="CCEEFF" w:val="clear"/>
            <w:vAlign w:val="center"/>
          </w:tcPr>
          <w:p>
            <w:pPr>
              <w:pStyle w:val="TableContents"/>
              <w:bidi w:val="0"/>
              <w:spacing w:before="0" w:after="0"/>
              <w:ind w:left="0" w:right="0" w:hanging="0"/>
              <w:jc w:val="left"/>
              <w:rPr/>
            </w:pPr>
            <w:r>
              <w:rPr/>
              <w:t>​</w:t>
            </w:r>
          </w:p>
        </w:tc>
      </w:tr>
      <w:tr>
        <w:trPr/>
        <w:tc>
          <w:tcPr>
            <w:tcW w:w="373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Gross margin</w:t>
            </w:r>
          </w:p>
        </w:tc>
        <w:tc>
          <w:tcPr>
            <w:tcW w:w="223" w:type="dxa"/>
            <w:tcBorders/>
            <w:vAlign w:val="center"/>
          </w:tcPr>
          <w:p>
            <w:pPr>
              <w:pStyle w:val="TableContents"/>
              <w:bidi w:val="0"/>
              <w:spacing w:before="0" w:after="0"/>
              <w:ind w:left="0" w:right="0" w:hanging="0"/>
              <w:jc w:val="left"/>
              <w:rPr/>
            </w:pPr>
            <w:r>
              <w:rPr/>
              <w:t> </w:t>
            </w:r>
          </w:p>
        </w:tc>
        <w:tc>
          <w:tcPr>
            <w:tcW w:w="493"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9.0</w:t>
            </w:r>
          </w:p>
        </w:tc>
        <w:tc>
          <w:tcPr>
            <w:tcW w:w="382" w:type="dxa"/>
            <w:tcBorders/>
            <w:vAlign w:val="center"/>
          </w:tcPr>
          <w:p>
            <w:pPr>
              <w:pStyle w:val="TableContents"/>
              <w:bidi w:val="0"/>
              <w:spacing w:before="0" w:after="0"/>
              <w:ind w:left="0" w:right="0" w:hanging="0"/>
              <w:jc w:val="left"/>
              <w:rPr/>
            </w:pPr>
            <w:r>
              <w:rPr/>
              <w:t>​</w:t>
            </w:r>
          </w:p>
        </w:tc>
        <w:tc>
          <w:tcPr>
            <w:tcW w:w="223" w:type="dxa"/>
            <w:tcBorders/>
            <w:vAlign w:val="center"/>
          </w:tcPr>
          <w:p>
            <w:pPr>
              <w:pStyle w:val="TableContents"/>
              <w:bidi w:val="0"/>
              <w:spacing w:before="0" w:after="0"/>
              <w:ind w:left="0" w:right="0" w:hanging="0"/>
              <w:jc w:val="left"/>
              <w:rPr/>
            </w:pPr>
            <w:r>
              <w:rPr/>
              <w:t> </w:t>
            </w:r>
          </w:p>
        </w:tc>
        <w:tc>
          <w:tcPr>
            <w:tcW w:w="493" w:type="dxa"/>
            <w:tcBorders/>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10.0</w:t>
            </w:r>
          </w:p>
        </w:tc>
        <w:tc>
          <w:tcPr>
            <w:tcW w:w="346" w:type="dxa"/>
            <w:tcBorders/>
            <w:vAlign w:val="center"/>
          </w:tcPr>
          <w:p>
            <w:pPr>
              <w:pStyle w:val="TableContents"/>
              <w:bidi w:val="0"/>
              <w:spacing w:before="0" w:after="0"/>
              <w:ind w:left="0" w:right="0" w:hanging="0"/>
              <w:jc w:val="left"/>
              <w:rPr/>
            </w:pPr>
            <w:r>
              <w:rPr/>
              <w:t> </w:t>
            </w:r>
          </w:p>
        </w:tc>
        <w:tc>
          <w:tcPr>
            <w:tcW w:w="75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w:t>
            </w:r>
          </w:p>
        </w:tc>
        <w:tc>
          <w:tcPr>
            <w:tcW w:w="316" w:type="dxa"/>
            <w:tcBorders/>
            <w:vAlign w:val="center"/>
          </w:tcPr>
          <w:p>
            <w:pPr>
              <w:pStyle w:val="TableContents"/>
              <w:bidi w:val="0"/>
              <w:spacing w:before="0" w:after="0"/>
              <w:ind w:left="0" w:right="0" w:hanging="0"/>
              <w:jc w:val="left"/>
              <w:rPr/>
            </w:pPr>
            <w:r>
              <w:rPr/>
              <w:t> </w:t>
            </w:r>
          </w:p>
        </w:tc>
      </w:tr>
      <w:tr>
        <w:trPr/>
        <w:tc>
          <w:tcPr>
            <w:tcW w:w="373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Selling, general and administrative expenses</w:t>
            </w:r>
          </w:p>
        </w:tc>
        <w:tc>
          <w:tcPr>
            <w:tcW w:w="223"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493"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3.5</w:t>
            </w:r>
          </w:p>
        </w:tc>
        <w:tc>
          <w:tcPr>
            <w:tcW w:w="382" w:type="dxa"/>
            <w:tcBorders/>
            <w:shd w:fill="CCEEFF" w:val="clear"/>
            <w:vAlign w:val="center"/>
          </w:tcPr>
          <w:p>
            <w:pPr>
              <w:pStyle w:val="TableContents"/>
              <w:bidi w:val="0"/>
              <w:spacing w:before="0" w:after="0"/>
              <w:ind w:left="0" w:right="0" w:hanging="0"/>
              <w:jc w:val="left"/>
              <w:rPr/>
            </w:pPr>
            <w:r>
              <w:rPr/>
              <w:t>​</w:t>
            </w:r>
          </w:p>
        </w:tc>
        <w:tc>
          <w:tcPr>
            <w:tcW w:w="223"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493"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3.4</w:t>
            </w:r>
          </w:p>
        </w:tc>
        <w:tc>
          <w:tcPr>
            <w:tcW w:w="346" w:type="dxa"/>
            <w:tcBorders/>
            <w:shd w:fill="CCEEFF" w:val="clear"/>
            <w:vAlign w:val="center"/>
          </w:tcPr>
          <w:p>
            <w:pPr>
              <w:pStyle w:val="TableContents"/>
              <w:bidi w:val="0"/>
              <w:spacing w:before="0" w:after="0"/>
              <w:ind w:left="0" w:right="0" w:hanging="0"/>
              <w:jc w:val="left"/>
              <w:rPr/>
            </w:pPr>
            <w:r>
              <w:rPr/>
              <w:t> </w:t>
            </w:r>
          </w:p>
        </w:tc>
        <w:tc>
          <w:tcPr>
            <w:tcW w:w="75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w:t>
            </w:r>
          </w:p>
        </w:tc>
        <w:tc>
          <w:tcPr>
            <w:tcW w:w="316" w:type="dxa"/>
            <w:tcBorders/>
            <w:shd w:fill="CCEEFF" w:val="clear"/>
            <w:vAlign w:val="center"/>
          </w:tcPr>
          <w:p>
            <w:pPr>
              <w:pStyle w:val="TableContents"/>
              <w:bidi w:val="0"/>
              <w:spacing w:before="0" w:after="0"/>
              <w:ind w:left="0" w:right="0" w:hanging="0"/>
              <w:jc w:val="left"/>
              <w:rPr/>
            </w:pPr>
            <w:r>
              <w:rPr/>
              <w:t> </w:t>
            </w:r>
          </w:p>
        </w:tc>
      </w:tr>
      <w:tr>
        <w:trPr/>
        <w:tc>
          <w:tcPr>
            <w:tcW w:w="373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Reporting unit profit (2)</w:t>
            </w:r>
          </w:p>
        </w:tc>
        <w:tc>
          <w:tcPr>
            <w:tcW w:w="223"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493"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5.5</w:t>
            </w:r>
          </w:p>
        </w:tc>
        <w:tc>
          <w:tcPr>
            <w:tcW w:w="382" w:type="dxa"/>
            <w:tcBorders/>
            <w:vAlign w:val="center"/>
          </w:tcPr>
          <w:p>
            <w:pPr>
              <w:pStyle w:val="TableContents"/>
              <w:bidi w:val="0"/>
              <w:spacing w:before="0" w:after="0"/>
              <w:ind w:left="0" w:right="0" w:hanging="0"/>
              <w:jc w:val="left"/>
              <w:rPr/>
            </w:pPr>
            <w:r>
              <w:rPr/>
              <w:t>​</w:t>
            </w:r>
          </w:p>
        </w:tc>
        <w:tc>
          <w:tcPr>
            <w:tcW w:w="223"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493"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6.6</w:t>
            </w:r>
          </w:p>
        </w:tc>
        <w:tc>
          <w:tcPr>
            <w:tcW w:w="346" w:type="dxa"/>
            <w:tcBorders/>
            <w:vAlign w:val="center"/>
          </w:tcPr>
          <w:p>
            <w:pPr>
              <w:pStyle w:val="TableContents"/>
              <w:bidi w:val="0"/>
              <w:spacing w:before="0" w:after="0"/>
              <w:ind w:left="0" w:right="0" w:hanging="0"/>
              <w:jc w:val="left"/>
              <w:rPr/>
            </w:pPr>
            <w:r>
              <w:rPr/>
              <w:t> </w:t>
            </w:r>
          </w:p>
        </w:tc>
        <w:tc>
          <w:tcPr>
            <w:tcW w:w="75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w:t>
            </w:r>
          </w:p>
        </w:tc>
        <w:tc>
          <w:tcPr>
            <w:tcW w:w="316" w:type="dxa"/>
            <w:tcBorders/>
            <w:vAlign w:val="center"/>
          </w:tcPr>
          <w:p>
            <w:pPr>
              <w:pStyle w:val="TableContents"/>
              <w:bidi w:val="0"/>
              <w:spacing w:before="0" w:after="0"/>
              <w:ind w:left="0" w:right="0" w:hanging="0"/>
              <w:jc w:val="left"/>
              <w:rPr/>
            </w:pPr>
            <w:r>
              <w:rPr/>
              <w:t> </w:t>
            </w:r>
          </w:p>
        </w:tc>
      </w:tr>
      <w:tr>
        <w:trPr/>
        <w:tc>
          <w:tcPr>
            <w:tcW w:w="3736" w:type="dxa"/>
            <w:tcBorders/>
            <w:shd w:fill="CCEEFF" w:val="clear"/>
            <w:vAlign w:val="center"/>
          </w:tcPr>
          <w:p>
            <w:pPr>
              <w:pStyle w:val="TableContents"/>
              <w:bidi w:val="0"/>
              <w:spacing w:before="0" w:after="0"/>
              <w:ind w:left="0" w:right="0" w:hanging="0"/>
              <w:jc w:val="left"/>
              <w:rPr/>
            </w:pPr>
            <w:r>
              <w:rPr/>
              <w:t>​</w:t>
            </w:r>
          </w:p>
        </w:tc>
        <w:tc>
          <w:tcPr>
            <w:tcW w:w="223" w:type="dxa"/>
            <w:tcBorders/>
            <w:shd w:fill="CCEEFF" w:val="clear"/>
            <w:vAlign w:val="center"/>
          </w:tcPr>
          <w:p>
            <w:pPr>
              <w:pStyle w:val="TableContents"/>
              <w:bidi w:val="0"/>
              <w:spacing w:before="0" w:after="0"/>
              <w:ind w:left="0" w:right="0" w:hanging="0"/>
              <w:jc w:val="left"/>
              <w:rPr/>
            </w:pPr>
            <w:r>
              <w:rPr/>
              <w:t>​</w:t>
            </w:r>
          </w:p>
        </w:tc>
        <w:tc>
          <w:tcPr>
            <w:tcW w:w="493" w:type="dxa"/>
            <w:tcBorders/>
            <w:shd w:fill="CCEEFF" w:val="clear"/>
            <w:vAlign w:val="center"/>
          </w:tcPr>
          <w:p>
            <w:pPr>
              <w:pStyle w:val="TableContents"/>
              <w:bidi w:val="0"/>
              <w:spacing w:before="0" w:after="0"/>
              <w:ind w:left="0" w:right="0" w:hanging="0"/>
              <w:jc w:val="left"/>
              <w:rPr/>
            </w:pPr>
            <w:r>
              <w:rPr/>
              <w:t>​</w:t>
            </w:r>
          </w:p>
        </w:tc>
        <w:tc>
          <w:tcPr>
            <w:tcW w:w="382" w:type="dxa"/>
            <w:tcBorders/>
            <w:shd w:fill="CCEEFF" w:val="clear"/>
            <w:vAlign w:val="center"/>
          </w:tcPr>
          <w:p>
            <w:pPr>
              <w:pStyle w:val="TableContents"/>
              <w:bidi w:val="0"/>
              <w:spacing w:before="0" w:after="0"/>
              <w:ind w:left="0" w:right="0" w:hanging="0"/>
              <w:jc w:val="left"/>
              <w:rPr/>
            </w:pPr>
            <w:r>
              <w:rPr/>
              <w:t>​</w:t>
            </w:r>
          </w:p>
        </w:tc>
        <w:tc>
          <w:tcPr>
            <w:tcW w:w="223" w:type="dxa"/>
            <w:tcBorders/>
            <w:shd w:fill="CCEEFF" w:val="clear"/>
            <w:vAlign w:val="center"/>
          </w:tcPr>
          <w:p>
            <w:pPr>
              <w:pStyle w:val="TableContents"/>
              <w:bidi w:val="0"/>
              <w:spacing w:before="0" w:after="0"/>
              <w:ind w:left="0" w:right="0" w:hanging="0"/>
              <w:jc w:val="left"/>
              <w:rPr/>
            </w:pPr>
            <w:r>
              <w:rPr/>
              <w:t>​</w:t>
            </w:r>
          </w:p>
        </w:tc>
        <w:tc>
          <w:tcPr>
            <w:tcW w:w="493"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751" w:type="dxa"/>
            <w:tcBorders/>
            <w:shd w:fill="CCEEFF" w:val="clear"/>
            <w:vAlign w:val="center"/>
          </w:tcPr>
          <w:p>
            <w:pPr>
              <w:pStyle w:val="TableContents"/>
              <w:bidi w:val="0"/>
              <w:spacing w:before="0" w:after="0"/>
              <w:ind w:left="0" w:right="0" w:hanging="0"/>
              <w:jc w:val="right"/>
              <w:rPr/>
            </w:pPr>
            <w:r>
              <w:rPr/>
              <w:t>​</w:t>
            </w:r>
          </w:p>
        </w:tc>
        <w:tc>
          <w:tcPr>
            <w:tcW w:w="316" w:type="dxa"/>
            <w:tcBorders/>
            <w:shd w:fill="CCEEFF" w:val="clear"/>
            <w:vAlign w:val="center"/>
          </w:tcPr>
          <w:p>
            <w:pPr>
              <w:pStyle w:val="TableContents"/>
              <w:bidi w:val="0"/>
              <w:spacing w:before="0" w:after="0"/>
              <w:ind w:left="0" w:right="0" w:hanging="0"/>
              <w:jc w:val="left"/>
              <w:rPr/>
            </w:pPr>
            <w:r>
              <w:rPr/>
              <w:t> </w:t>
            </w:r>
          </w:p>
        </w:tc>
      </w:tr>
      <w:tr>
        <w:trPr/>
        <w:tc>
          <w:tcPr>
            <w:tcW w:w="373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Gross margin</w:t>
            </w:r>
          </w:p>
        </w:tc>
        <w:tc>
          <w:tcPr>
            <w:tcW w:w="223" w:type="dxa"/>
            <w:tcBorders/>
            <w:vAlign w:val="center"/>
          </w:tcPr>
          <w:p>
            <w:pPr>
              <w:pStyle w:val="TableContents"/>
              <w:bidi w:val="0"/>
              <w:spacing w:before="0" w:after="0"/>
              <w:ind w:left="0" w:right="0" w:hanging="0"/>
              <w:jc w:val="left"/>
              <w:rPr/>
            </w:pPr>
            <w:r>
              <w:rPr/>
              <w:t> </w:t>
            </w:r>
          </w:p>
        </w:tc>
        <w:tc>
          <w:tcPr>
            <w:tcW w:w="493"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30.0</w:t>
            </w:r>
          </w:p>
        </w:tc>
        <w:tc>
          <w:tcPr>
            <w:tcW w:w="382"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c>
          <w:tcPr>
            <w:tcW w:w="223" w:type="dxa"/>
            <w:tcBorders/>
            <w:vAlign w:val="center"/>
          </w:tcPr>
          <w:p>
            <w:pPr>
              <w:pStyle w:val="TableContents"/>
              <w:bidi w:val="0"/>
              <w:spacing w:before="0" w:after="0"/>
              <w:ind w:left="0" w:right="0" w:hanging="0"/>
              <w:jc w:val="left"/>
              <w:rPr/>
            </w:pPr>
            <w:r>
              <w:rPr/>
              <w:t> </w:t>
            </w:r>
          </w:p>
        </w:tc>
        <w:tc>
          <w:tcPr>
            <w:tcW w:w="493" w:type="dxa"/>
            <w:tcBorders/>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33.5</w:t>
            </w:r>
          </w:p>
        </w:tc>
        <w:tc>
          <w:tcPr>
            <w:tcW w:w="346"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751" w:type="dxa"/>
            <w:tcBorders/>
            <w:vAlign w:val="center"/>
          </w:tcPr>
          <w:p>
            <w:pPr>
              <w:pStyle w:val="TableContents"/>
              <w:bidi w:val="0"/>
              <w:spacing w:before="0" w:after="0"/>
              <w:ind w:left="0" w:right="0" w:hanging="0"/>
              <w:jc w:val="left"/>
              <w:rPr/>
            </w:pPr>
            <w:r>
              <w:rPr/>
              <w:t>​</w:t>
            </w:r>
          </w:p>
        </w:tc>
        <w:tc>
          <w:tcPr>
            <w:tcW w:w="316" w:type="dxa"/>
            <w:tcBorders/>
            <w:vAlign w:val="center"/>
          </w:tcPr>
          <w:p>
            <w:pPr>
              <w:pStyle w:val="TableContents"/>
              <w:bidi w:val="0"/>
              <w:spacing w:before="0" w:after="0"/>
              <w:ind w:left="0" w:right="0" w:hanging="0"/>
              <w:jc w:val="left"/>
              <w:rPr/>
            </w:pPr>
            <w:r>
              <w:rPr/>
              <w:t>​</w:t>
            </w:r>
          </w:p>
        </w:tc>
      </w:tr>
      <w:tr>
        <w:trPr/>
        <w:tc>
          <w:tcPr>
            <w:tcW w:w="373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Reporting unit profit margin</w:t>
            </w:r>
          </w:p>
        </w:tc>
        <w:tc>
          <w:tcPr>
            <w:tcW w:w="223" w:type="dxa"/>
            <w:tcBorders/>
            <w:shd w:fill="CCEEFF" w:val="clear"/>
            <w:vAlign w:val="center"/>
          </w:tcPr>
          <w:p>
            <w:pPr>
              <w:pStyle w:val="TableContents"/>
              <w:bidi w:val="0"/>
              <w:spacing w:before="0" w:after="0"/>
              <w:ind w:left="0" w:right="0" w:hanging="0"/>
              <w:jc w:val="left"/>
              <w:rPr/>
            </w:pPr>
            <w:r>
              <w:rPr/>
              <w:t> </w:t>
            </w:r>
          </w:p>
        </w:tc>
        <w:tc>
          <w:tcPr>
            <w:tcW w:w="49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18.0</w:t>
            </w:r>
          </w:p>
        </w:tc>
        <w:tc>
          <w:tcPr>
            <w:tcW w:w="382" w:type="dxa"/>
            <w:tcBorders/>
            <w:shd w:fill="CCEEFF" w:val="clear"/>
            <w:vAlign w:val="center"/>
          </w:tcPr>
          <w:p>
            <w:pPr>
              <w:pStyle w:val="TableContents"/>
              <w:bidi w:val="0"/>
              <w:spacing w:before="0" w:after="0"/>
              <w:ind w:left="0" w:right="0" w:hanging="0"/>
              <w:jc w:val="left"/>
              <w:rPr/>
            </w:pPr>
            <w:r>
              <w:rPr/>
              <w:t>​</w:t>
            </w:r>
          </w:p>
        </w:tc>
        <w:tc>
          <w:tcPr>
            <w:tcW w:w="223" w:type="dxa"/>
            <w:tcBorders/>
            <w:shd w:fill="CCEEFF" w:val="clear"/>
            <w:vAlign w:val="center"/>
          </w:tcPr>
          <w:p>
            <w:pPr>
              <w:pStyle w:val="TableContents"/>
              <w:bidi w:val="0"/>
              <w:spacing w:before="0" w:after="0"/>
              <w:ind w:left="0" w:right="0" w:hanging="0"/>
              <w:jc w:val="left"/>
              <w:rPr/>
            </w:pPr>
            <w:r>
              <w:rPr/>
              <w:t> </w:t>
            </w:r>
          </w:p>
        </w:tc>
        <w:tc>
          <w:tcPr>
            <w:tcW w:w="493"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22.0</w:t>
            </w:r>
          </w:p>
        </w:tc>
        <w:tc>
          <w:tcPr>
            <w:tcW w:w="346" w:type="dxa"/>
            <w:tcBorders/>
            <w:shd w:fill="CCEEFF" w:val="clear"/>
            <w:vAlign w:val="center"/>
          </w:tcPr>
          <w:p>
            <w:pPr>
              <w:pStyle w:val="TableContents"/>
              <w:bidi w:val="0"/>
              <w:spacing w:before="0" w:after="0"/>
              <w:ind w:left="0" w:right="0" w:hanging="0"/>
              <w:jc w:val="left"/>
              <w:rPr/>
            </w:pPr>
            <w:r>
              <w:rPr/>
              <w:t> </w:t>
            </w:r>
          </w:p>
        </w:tc>
        <w:tc>
          <w:tcPr>
            <w:tcW w:w="751" w:type="dxa"/>
            <w:tcBorders/>
            <w:shd w:fill="CCEEFF" w:val="clear"/>
            <w:vAlign w:val="center"/>
          </w:tcPr>
          <w:p>
            <w:pPr>
              <w:pStyle w:val="TableContents"/>
              <w:bidi w:val="0"/>
              <w:spacing w:before="0" w:after="0"/>
              <w:ind w:left="0" w:right="0" w:hanging="0"/>
              <w:jc w:val="right"/>
              <w:rPr/>
            </w:pPr>
            <w:r>
              <w:rPr/>
              <w:t>  ​</w:t>
            </w:r>
          </w:p>
        </w:tc>
        <w:tc>
          <w:tcPr>
            <w:tcW w:w="316" w:type="dxa"/>
            <w:tcBorders/>
            <w:shd w:fill="CCEEFF" w:val="clear"/>
            <w:vAlign w:val="center"/>
          </w:tcPr>
          <w:p>
            <w:pPr>
              <w:pStyle w:val="TableContents"/>
              <w:bidi w:val="0"/>
              <w:spacing w:before="0" w:after="0"/>
              <w:ind w:left="0" w:right="0" w:hanging="0"/>
              <w:jc w:val="left"/>
              <w:rPr/>
            </w:pPr>
            <w:r>
              <w:rPr/>
              <w:t>​</w:t>
            </w:r>
          </w:p>
        </w:tc>
      </w:tr>
    </w:tbl>
    <w:tbl>
      <w:tblPr>
        <w:tblW w:w="10205" w:type="dxa"/>
        <w:jc w:val="left"/>
        <w:tblInd w:w="0" w:type="dxa"/>
        <w:tblLayout w:type="fixed"/>
        <w:tblCellMar>
          <w:top w:w="28" w:type="dxa"/>
          <w:left w:w="28" w:type="dxa"/>
          <w:bottom w:w="28" w:type="dxa"/>
          <w:right w:w="28" w:type="dxa"/>
        </w:tblCellMar>
      </w:tblPr>
      <w:tblGrid>
        <w:gridCol w:w="124"/>
        <w:gridCol w:w="306"/>
        <w:gridCol w:w="9775"/>
      </w:tblGrid>
      <w:tr>
        <w:trPr/>
        <w:tc>
          <w:tcPr>
            <w:tcW w:w="124" w:type="dxa"/>
            <w:tcBorders/>
            <w:vAlign w:val="center"/>
          </w:tcPr>
          <w:p>
            <w:pPr>
              <w:pStyle w:val="TableContents"/>
              <w:bidi w:val="0"/>
              <w:spacing w:before="0" w:after="283"/>
              <w:jc w:val="left"/>
              <w:rPr>
                <w:sz w:val="4"/>
                <w:szCs w:val="4"/>
              </w:rPr>
            </w:pPr>
            <w:r>
              <w:rPr>
                <w:sz w:val="4"/>
                <w:szCs w:val="4"/>
              </w:rPr>
            </w:r>
          </w:p>
        </w:tc>
        <w:tc>
          <w:tcPr>
            <w:tcW w:w="30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w:t>
            </w:r>
          </w:p>
        </w:tc>
        <w:tc>
          <w:tcPr>
            <w:tcW w:w="977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Reporting unit profit includes reporting unit sales less cost of sales and selling, general and administrative expenses directly attributable to the reporting unit. Interunit sales are not material.</w:t>
            </w:r>
          </w:p>
        </w:tc>
      </w:tr>
    </w:tbl>
    <w:p>
      <w:pPr>
        <w:pStyle w:val="TextBody"/>
        <w:bidi w:val="0"/>
        <w:spacing w:before="240" w:after="240"/>
        <w:ind w:left="0" w:right="0" w:firstLine="720"/>
        <w:jc w:val="both"/>
        <w:rPr>
          <w:rFonts w:ascii="Times New Roman;Times;serif" w:hAnsi="Times New Roman;Times;serif"/>
          <w:sz w:val="20"/>
        </w:rPr>
      </w:pPr>
      <w:r>
        <w:rPr>
          <w:rFonts w:ascii="Times New Roman;Times;serif" w:hAnsi="Times New Roman;Times;serif"/>
          <w:b/>
          <w:i/>
          <w:sz w:val="20"/>
        </w:rPr>
        <w:t>Security Products </w:t>
      </w:r>
      <w:r>
        <w:rPr>
          <w:rFonts w:ascii="Times New Roman;Times;serif" w:hAnsi="Times New Roman;Times;serif"/>
          <w:sz w:val="20"/>
        </w:rPr>
        <w:t>– Security Products net sales decreased 1% in the first quarter of 2026 compared to the same period last year primarily due to lower sales across a variety of markets. The decrease was driven by $.3 million lower sales to the healthcare market and $.2 million lower sales to each of the general cabinetry, electric control panel, and gas station security markets. These decreases were partially offset by $.3 million higher sales to the tool storage market and $.2 million higher sales to the institutional furniture market. Gross margin as a percentage of net sales increased in the first quarter primarily due to a more favorable customer and product mix. Reporting unit profit margin also increased primarily due to the improvement in gross margin discussed above.</w:t>
      </w:r>
    </w:p>
    <w:tbl>
      <w:tblPr>
        <w:tblW w:w="7354" w:type="dxa"/>
        <w:jc w:val="left"/>
        <w:tblInd w:w="0" w:type="dxa"/>
        <w:tblLayout w:type="fixed"/>
        <w:tblCellMar>
          <w:top w:w="0" w:type="dxa"/>
          <w:left w:w="0" w:type="dxa"/>
          <w:bottom w:w="0" w:type="dxa"/>
          <w:right w:w="0" w:type="dxa"/>
        </w:tblCellMar>
      </w:tblPr>
      <w:tblGrid>
        <w:gridCol w:w="3736"/>
        <w:gridCol w:w="346"/>
        <w:gridCol w:w="223"/>
        <w:gridCol w:w="493"/>
        <w:gridCol w:w="382"/>
        <w:gridCol w:w="223"/>
        <w:gridCol w:w="493"/>
        <w:gridCol w:w="391"/>
        <w:gridCol w:w="751"/>
        <w:gridCol w:w="316"/>
      </w:tblGrid>
      <w:tr>
        <w:trPr/>
        <w:tc>
          <w:tcPr>
            <w:tcW w:w="37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0">
                      <wp:simplePos x="0" y="0"/>
                      <wp:positionH relativeFrom="character">
                        <wp:align>left</wp:align>
                      </wp:positionH>
                      <wp:positionV relativeFrom="line">
                        <wp:posOffset>635</wp:posOffset>
                      </wp:positionV>
                      <wp:extent cx="2372360" cy="175260"/>
                      <wp:effectExtent l="0" t="0" r="0" b="0"/>
                      <wp:wrapNone/>
                      <wp:docPr id="199" name="Frame199"/>
                      <a:graphic xmlns:a="http://schemas.openxmlformats.org/drawingml/2006/main">
                        <a:graphicData uri="http://schemas.microsoft.com/office/word/2010/wordprocessingShape">
                          <wps:wsp>
                            <wps:cNvSpPr txBox="1"/>
                            <wps:spPr>
                              <a:xfrm>
                                <a:off x="0" y="0"/>
                                <a:ext cx="23723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6.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1">
                      <wp:simplePos x="0" y="0"/>
                      <wp:positionH relativeFrom="character">
                        <wp:align>left</wp:align>
                      </wp:positionH>
                      <wp:positionV relativeFrom="line">
                        <wp:posOffset>635</wp:posOffset>
                      </wp:positionV>
                      <wp:extent cx="219710" cy="175260"/>
                      <wp:effectExtent l="0" t="0" r="0" b="0"/>
                      <wp:wrapNone/>
                      <wp:docPr id="200" name="Frame200"/>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2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2">
                      <wp:simplePos x="0" y="0"/>
                      <wp:positionH relativeFrom="character">
                        <wp:align>left</wp:align>
                      </wp:positionH>
                      <wp:positionV relativeFrom="line">
                        <wp:posOffset>635</wp:posOffset>
                      </wp:positionV>
                      <wp:extent cx="141605" cy="175260"/>
                      <wp:effectExtent l="0" t="0" r="0" b="0"/>
                      <wp:wrapNone/>
                      <wp:docPr id="201" name="Frame201"/>
                      <a:graphic xmlns:a="http://schemas.openxmlformats.org/drawingml/2006/main">
                        <a:graphicData uri="http://schemas.microsoft.com/office/word/2010/wordprocessingShape">
                          <wps:wsp>
                            <wps:cNvSpPr txBox="1"/>
                            <wps:spPr>
                              <a:xfrm>
                                <a:off x="0" y="0"/>
                                <a:ext cx="14160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9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3">
                      <wp:simplePos x="0" y="0"/>
                      <wp:positionH relativeFrom="character">
                        <wp:align>left</wp:align>
                      </wp:positionH>
                      <wp:positionV relativeFrom="line">
                        <wp:posOffset>635</wp:posOffset>
                      </wp:positionV>
                      <wp:extent cx="313055" cy="175260"/>
                      <wp:effectExtent l="0" t="0" r="0" b="0"/>
                      <wp:wrapNone/>
                      <wp:docPr id="202" name="Frame202"/>
                      <a:graphic xmlns:a="http://schemas.openxmlformats.org/drawingml/2006/main">
                        <a:graphicData uri="http://schemas.microsoft.com/office/word/2010/wordprocessingShape">
                          <wps:wsp>
                            <wps:cNvSpPr txBox="1"/>
                            <wps:spPr>
                              <a:xfrm>
                                <a:off x="0" y="0"/>
                                <a:ext cx="31305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4.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8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4">
                      <wp:simplePos x="0" y="0"/>
                      <wp:positionH relativeFrom="character">
                        <wp:align>left</wp:align>
                      </wp:positionH>
                      <wp:positionV relativeFrom="line">
                        <wp:posOffset>635</wp:posOffset>
                      </wp:positionV>
                      <wp:extent cx="242570" cy="175260"/>
                      <wp:effectExtent l="0" t="0" r="0" b="0"/>
                      <wp:wrapNone/>
                      <wp:docPr id="203" name="Frame203"/>
                      <a:graphic xmlns:a="http://schemas.openxmlformats.org/drawingml/2006/main">
                        <a:graphicData uri="http://schemas.microsoft.com/office/word/2010/wordprocessingShape">
                          <wps:wsp>
                            <wps:cNvSpPr txBox="1"/>
                            <wps:spPr>
                              <a:xfrm>
                                <a:off x="0" y="0"/>
                                <a:ext cx="24257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2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5">
                      <wp:simplePos x="0" y="0"/>
                      <wp:positionH relativeFrom="character">
                        <wp:align>left</wp:align>
                      </wp:positionH>
                      <wp:positionV relativeFrom="line">
                        <wp:posOffset>635</wp:posOffset>
                      </wp:positionV>
                      <wp:extent cx="141605" cy="175260"/>
                      <wp:effectExtent l="0" t="0" r="0" b="0"/>
                      <wp:wrapNone/>
                      <wp:docPr id="204" name="Frame204"/>
                      <a:graphic xmlns:a="http://schemas.openxmlformats.org/drawingml/2006/main">
                        <a:graphicData uri="http://schemas.microsoft.com/office/word/2010/wordprocessingShape">
                          <wps:wsp>
                            <wps:cNvSpPr txBox="1"/>
                            <wps:spPr>
                              <a:xfrm>
                                <a:off x="0" y="0"/>
                                <a:ext cx="14160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9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6">
                      <wp:simplePos x="0" y="0"/>
                      <wp:positionH relativeFrom="character">
                        <wp:align>left</wp:align>
                      </wp:positionH>
                      <wp:positionV relativeFrom="line">
                        <wp:posOffset>635</wp:posOffset>
                      </wp:positionV>
                      <wp:extent cx="313055" cy="175260"/>
                      <wp:effectExtent l="0" t="0" r="0" b="0"/>
                      <wp:wrapNone/>
                      <wp:docPr id="205" name="Frame205"/>
                      <a:graphic xmlns:a="http://schemas.openxmlformats.org/drawingml/2006/main">
                        <a:graphicData uri="http://schemas.microsoft.com/office/word/2010/wordprocessingShape">
                          <wps:wsp>
                            <wps:cNvSpPr txBox="1"/>
                            <wps:spPr>
                              <a:xfrm>
                                <a:off x="0" y="0"/>
                                <a:ext cx="31305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4.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7">
                      <wp:simplePos x="0" y="0"/>
                      <wp:positionH relativeFrom="character">
                        <wp:align>left</wp:align>
                      </wp:positionH>
                      <wp:positionV relativeFrom="line">
                        <wp:posOffset>635</wp:posOffset>
                      </wp:positionV>
                      <wp:extent cx="248285" cy="175260"/>
                      <wp:effectExtent l="0" t="0" r="0" b="0"/>
                      <wp:wrapNone/>
                      <wp:docPr id="206" name="Frame206"/>
                      <a:graphic xmlns:a="http://schemas.openxmlformats.org/drawingml/2006/main">
                        <a:graphicData uri="http://schemas.microsoft.com/office/word/2010/wordprocessingShape">
                          <wps:wsp>
                            <wps:cNvSpPr txBox="1"/>
                            <wps:spPr>
                              <a:xfrm>
                                <a:off x="0" y="0"/>
                                <a:ext cx="2482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5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8">
                      <wp:simplePos x="0" y="0"/>
                      <wp:positionH relativeFrom="character">
                        <wp:align>left</wp:align>
                      </wp:positionH>
                      <wp:positionV relativeFrom="line">
                        <wp:posOffset>635</wp:posOffset>
                      </wp:positionV>
                      <wp:extent cx="476885" cy="175260"/>
                      <wp:effectExtent l="0" t="0" r="0" b="0"/>
                      <wp:wrapNone/>
                      <wp:docPr id="207" name="Frame207"/>
                      <a:graphic xmlns:a="http://schemas.openxmlformats.org/drawingml/2006/main">
                        <a:graphicData uri="http://schemas.microsoft.com/office/word/2010/wordprocessingShape">
                          <wps:wsp>
                            <wps:cNvSpPr txBox="1"/>
                            <wps:spPr>
                              <a:xfrm>
                                <a:off x="0" y="0"/>
                                <a:ext cx="4768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7.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9">
                      <wp:simplePos x="0" y="0"/>
                      <wp:positionH relativeFrom="character">
                        <wp:align>left</wp:align>
                      </wp:positionH>
                      <wp:positionV relativeFrom="line">
                        <wp:posOffset>635</wp:posOffset>
                      </wp:positionV>
                      <wp:extent cx="200660" cy="175260"/>
                      <wp:effectExtent l="0" t="0" r="0" b="0"/>
                      <wp:wrapNone/>
                      <wp:docPr id="208" name="Frame208"/>
                      <a:graphic xmlns:a="http://schemas.openxmlformats.org/drawingml/2006/main">
                        <a:graphicData uri="http://schemas.microsoft.com/office/word/2010/wordprocessingShape">
                          <wps:wsp>
                            <wps:cNvSpPr txBox="1"/>
                            <wps:spPr>
                              <a:xfrm>
                                <a:off x="0" y="0"/>
                                <a:ext cx="2006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73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814"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Three months ended</w:t>
              <w:br/>
              <w:t>March 31,</w:t>
            </w:r>
          </w:p>
        </w:tc>
        <w:tc>
          <w:tcPr>
            <w:tcW w:w="391" w:type="dxa"/>
            <w:tcBorders/>
            <w:vAlign w:val="center"/>
          </w:tcPr>
          <w:p>
            <w:pPr>
              <w:pStyle w:val="TableContents"/>
              <w:bidi w:val="0"/>
              <w:spacing w:before="0" w:after="0"/>
              <w:ind w:left="0" w:right="0" w:hanging="0"/>
              <w:jc w:val="center"/>
              <w:rPr/>
            </w:pPr>
            <w:r>
              <w:rPr/>
              <w:t>​</w:t>
            </w:r>
          </w:p>
        </w:tc>
        <w:tc>
          <w:tcPr>
            <w:tcW w:w="751" w:type="dxa"/>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w:t>
            </w:r>
          </w:p>
        </w:tc>
        <w:tc>
          <w:tcPr>
            <w:tcW w:w="316" w:type="dxa"/>
            <w:tcBorders/>
            <w:vAlign w:val="center"/>
          </w:tcPr>
          <w:p>
            <w:pPr>
              <w:pStyle w:val="TableContents"/>
              <w:bidi w:val="0"/>
              <w:spacing w:before="0" w:after="0"/>
              <w:ind w:left="0" w:right="0" w:hanging="0"/>
              <w:jc w:val="left"/>
              <w:rPr/>
            </w:pPr>
            <w:r>
              <w:rPr/>
              <w:t>​</w:t>
            </w:r>
          </w:p>
        </w:tc>
      </w:tr>
      <w:tr>
        <w:trPr/>
        <w:tc>
          <w:tcPr>
            <w:tcW w:w="373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  ​ ​ ​</w:t>
            </w:r>
          </w:p>
        </w:tc>
        <w:tc>
          <w:tcPr>
            <w:tcW w:w="71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2025</w:t>
            </w:r>
          </w:p>
        </w:tc>
        <w:tc>
          <w:tcPr>
            <w:tcW w:w="382" w:type="dxa"/>
            <w:tcBorders/>
            <w:vAlign w:val="center"/>
          </w:tcPr>
          <w:p>
            <w:pPr>
              <w:pStyle w:val="TableContents"/>
              <w:bidi w:val="0"/>
              <w:spacing w:before="0" w:after="0"/>
              <w:ind w:left="0" w:right="0" w:hanging="0"/>
              <w:jc w:val="center"/>
              <w:rPr/>
            </w:pPr>
            <w:r>
              <w:rPr/>
              <w:t>  ​ ​ ​</w:t>
            </w:r>
          </w:p>
        </w:tc>
        <w:tc>
          <w:tcPr>
            <w:tcW w:w="71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2026</w:t>
            </w:r>
          </w:p>
        </w:tc>
        <w:tc>
          <w:tcPr>
            <w:tcW w:w="391" w:type="dxa"/>
            <w:tcBorders/>
            <w:vAlign w:val="center"/>
          </w:tcPr>
          <w:p>
            <w:pPr>
              <w:pStyle w:val="TableContents"/>
              <w:bidi w:val="0"/>
              <w:spacing w:before="0" w:after="0"/>
              <w:ind w:left="0" w:right="0" w:hanging="0"/>
              <w:jc w:val="center"/>
              <w:rPr/>
            </w:pPr>
            <w:r>
              <w:rPr/>
              <w:t>  ​ ​ ​</w:t>
            </w:r>
          </w:p>
        </w:tc>
        <w:tc>
          <w:tcPr>
            <w:tcW w:w="75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Change</w:t>
            </w:r>
          </w:p>
        </w:tc>
        <w:tc>
          <w:tcPr>
            <w:tcW w:w="316" w:type="dxa"/>
            <w:tcBorders/>
            <w:vAlign w:val="center"/>
          </w:tcPr>
          <w:p>
            <w:pPr>
              <w:pStyle w:val="TableContents"/>
              <w:bidi w:val="0"/>
              <w:spacing w:before="0" w:after="0"/>
              <w:ind w:left="0" w:right="0" w:hanging="0"/>
              <w:jc w:val="left"/>
              <w:rPr/>
            </w:pPr>
            <w:r>
              <w:rPr/>
              <w:t>​</w:t>
            </w:r>
          </w:p>
        </w:tc>
      </w:tr>
      <w:tr>
        <w:trPr/>
        <w:tc>
          <w:tcPr>
            <w:tcW w:w="7354" w:type="dxa"/>
            <w:gridSpan w:val="10"/>
            <w:tcBorders/>
            <w:vAlign w:val="center"/>
          </w:tcPr>
          <w:p>
            <w:pPr>
              <w:pStyle w:val="TableContents"/>
              <w:bidi w:val="0"/>
              <w:spacing w:before="0" w:after="283"/>
              <w:ind w:left="0" w:right="0" w:hanging="0"/>
              <w:jc w:val="left"/>
              <w:rPr>
                <w:sz w:val="4"/>
                <w:szCs w:val="4"/>
              </w:rPr>
            </w:pPr>
            <w:r>
              <w:rPr>
                <w:sz w:val="4"/>
                <w:szCs w:val="4"/>
              </w:rPr>
            </w:r>
          </w:p>
        </w:tc>
      </w:tr>
      <w:tr>
        <w:trPr/>
        <w:tc>
          <w:tcPr>
            <w:tcW w:w="373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814" w:type="dxa"/>
            <w:gridSpan w:val="5"/>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(In millions)</w:t>
            </w:r>
          </w:p>
        </w:tc>
        <w:tc>
          <w:tcPr>
            <w:tcW w:w="391" w:type="dxa"/>
            <w:tcBorders/>
            <w:vAlign w:val="center"/>
          </w:tcPr>
          <w:p>
            <w:pPr>
              <w:pStyle w:val="TableContents"/>
              <w:bidi w:val="0"/>
              <w:spacing w:before="0" w:after="0"/>
              <w:ind w:left="0" w:right="0" w:hanging="0"/>
              <w:jc w:val="left"/>
              <w:rPr/>
            </w:pPr>
            <w:r>
              <w:rPr/>
              <w:t>​</w:t>
            </w:r>
          </w:p>
        </w:tc>
        <w:tc>
          <w:tcPr>
            <w:tcW w:w="751" w:type="dxa"/>
            <w:tcBorders/>
            <w:vAlign w:val="center"/>
          </w:tcPr>
          <w:p>
            <w:pPr>
              <w:pStyle w:val="TableContents"/>
              <w:bidi w:val="0"/>
              <w:spacing w:before="0" w:after="0"/>
              <w:ind w:left="0" w:right="0" w:hanging="0"/>
              <w:jc w:val="left"/>
              <w:rPr/>
            </w:pPr>
            <w:r>
              <w:rPr/>
              <w:t>​</w:t>
            </w:r>
          </w:p>
        </w:tc>
        <w:tc>
          <w:tcPr>
            <w:tcW w:w="316" w:type="dxa"/>
            <w:tcBorders/>
            <w:vAlign w:val="center"/>
          </w:tcPr>
          <w:p>
            <w:pPr>
              <w:pStyle w:val="TableContents"/>
              <w:bidi w:val="0"/>
              <w:spacing w:before="0" w:after="0"/>
              <w:ind w:left="0" w:right="0" w:hanging="0"/>
              <w:jc w:val="left"/>
              <w:rPr/>
            </w:pPr>
            <w:r>
              <w:rPr/>
              <w:t>​</w:t>
            </w:r>
          </w:p>
        </w:tc>
      </w:tr>
      <w:tr>
        <w:trPr/>
        <w:tc>
          <w:tcPr>
            <w:tcW w:w="373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Marine Components:</w:t>
            </w:r>
          </w:p>
        </w:tc>
        <w:tc>
          <w:tcPr>
            <w:tcW w:w="346" w:type="dxa"/>
            <w:tcBorders/>
            <w:shd w:fill="CCEEFF" w:val="clear"/>
            <w:vAlign w:val="center"/>
          </w:tcPr>
          <w:p>
            <w:pPr>
              <w:pStyle w:val="TableContents"/>
              <w:bidi w:val="0"/>
              <w:spacing w:before="0" w:after="0"/>
              <w:ind w:left="0" w:right="0" w:hanging="0"/>
              <w:jc w:val="center"/>
              <w:rPr/>
            </w:pPr>
            <w:r>
              <w:rPr/>
              <w:t>​</w:t>
            </w:r>
          </w:p>
        </w:tc>
        <w:tc>
          <w:tcPr>
            <w:tcW w:w="223" w:type="dxa"/>
            <w:tcBorders/>
            <w:shd w:fill="CCEEFF" w:val="clear"/>
            <w:vAlign w:val="center"/>
          </w:tcPr>
          <w:p>
            <w:pPr>
              <w:pStyle w:val="TableContents"/>
              <w:bidi w:val="0"/>
              <w:spacing w:before="0" w:after="0"/>
              <w:ind w:left="0" w:right="0" w:hanging="0"/>
              <w:jc w:val="center"/>
              <w:rPr/>
            </w:pPr>
            <w:r>
              <w:rPr/>
              <w:t>​</w:t>
            </w:r>
          </w:p>
        </w:tc>
        <w:tc>
          <w:tcPr>
            <w:tcW w:w="493" w:type="dxa"/>
            <w:tcBorders/>
            <w:shd w:fill="CCEEFF" w:val="clear"/>
            <w:vAlign w:val="center"/>
          </w:tcPr>
          <w:p>
            <w:pPr>
              <w:pStyle w:val="TableContents"/>
              <w:bidi w:val="0"/>
              <w:spacing w:before="0" w:after="0"/>
              <w:ind w:left="0" w:right="0" w:hanging="0"/>
              <w:jc w:val="center"/>
              <w:rPr/>
            </w:pPr>
            <w:r>
              <w:rPr/>
              <w:t>​</w:t>
            </w:r>
          </w:p>
        </w:tc>
        <w:tc>
          <w:tcPr>
            <w:tcW w:w="382" w:type="dxa"/>
            <w:tcBorders/>
            <w:shd w:fill="CCEEFF" w:val="clear"/>
            <w:vAlign w:val="center"/>
          </w:tcPr>
          <w:p>
            <w:pPr>
              <w:pStyle w:val="TableContents"/>
              <w:bidi w:val="0"/>
              <w:spacing w:before="0" w:after="0"/>
              <w:ind w:left="0" w:right="0" w:hanging="0"/>
              <w:jc w:val="center"/>
              <w:rPr/>
            </w:pPr>
            <w:r>
              <w:rPr/>
              <w:t>​</w:t>
            </w:r>
          </w:p>
        </w:tc>
        <w:tc>
          <w:tcPr>
            <w:tcW w:w="223" w:type="dxa"/>
            <w:tcBorders/>
            <w:shd w:fill="CCEEFF" w:val="clear"/>
            <w:vAlign w:val="center"/>
          </w:tcPr>
          <w:p>
            <w:pPr>
              <w:pStyle w:val="TableContents"/>
              <w:bidi w:val="0"/>
              <w:spacing w:before="0" w:after="0"/>
              <w:ind w:left="0" w:right="0" w:hanging="0"/>
              <w:jc w:val="center"/>
              <w:rPr/>
            </w:pPr>
            <w:r>
              <w:rPr/>
              <w:t>​</w:t>
            </w:r>
          </w:p>
        </w:tc>
        <w:tc>
          <w:tcPr>
            <w:tcW w:w="493" w:type="dxa"/>
            <w:tcBorders/>
            <w:shd w:fill="CCEEFF" w:val="clear"/>
            <w:vAlign w:val="center"/>
          </w:tcPr>
          <w:p>
            <w:pPr>
              <w:pStyle w:val="TableContents"/>
              <w:bidi w:val="0"/>
              <w:spacing w:before="0" w:after="0"/>
              <w:ind w:left="0" w:right="0" w:hanging="0"/>
              <w:jc w:val="center"/>
              <w:rPr/>
            </w:pPr>
            <w:r>
              <w:rPr/>
              <w:t>​</w:t>
            </w:r>
          </w:p>
        </w:tc>
        <w:tc>
          <w:tcPr>
            <w:tcW w:w="391" w:type="dxa"/>
            <w:tcBorders/>
            <w:shd w:fill="CCEEFF" w:val="clear"/>
            <w:vAlign w:val="center"/>
          </w:tcPr>
          <w:p>
            <w:pPr>
              <w:pStyle w:val="TableContents"/>
              <w:bidi w:val="0"/>
              <w:spacing w:before="0" w:after="0"/>
              <w:ind w:left="0" w:right="0" w:hanging="0"/>
              <w:jc w:val="left"/>
              <w:rPr/>
            </w:pPr>
            <w:r>
              <w:rPr/>
              <w:t>​</w:t>
            </w:r>
          </w:p>
        </w:tc>
        <w:tc>
          <w:tcPr>
            <w:tcW w:w="751" w:type="dxa"/>
            <w:tcBorders/>
            <w:shd w:fill="CCEEFF" w:val="clear"/>
            <w:vAlign w:val="center"/>
          </w:tcPr>
          <w:p>
            <w:pPr>
              <w:pStyle w:val="TableContents"/>
              <w:bidi w:val="0"/>
              <w:spacing w:before="0" w:after="0"/>
              <w:ind w:left="0" w:right="0" w:hanging="0"/>
              <w:jc w:val="left"/>
              <w:rPr/>
            </w:pPr>
            <w:r>
              <w:rPr/>
              <w:t>​</w:t>
            </w:r>
          </w:p>
        </w:tc>
        <w:tc>
          <w:tcPr>
            <w:tcW w:w="316" w:type="dxa"/>
            <w:tcBorders/>
            <w:shd w:fill="CCEEFF" w:val="clear"/>
            <w:vAlign w:val="center"/>
          </w:tcPr>
          <w:p>
            <w:pPr>
              <w:pStyle w:val="TableContents"/>
              <w:bidi w:val="0"/>
              <w:spacing w:before="0" w:after="0"/>
              <w:ind w:left="0" w:right="0" w:hanging="0"/>
              <w:jc w:val="left"/>
              <w:rPr/>
            </w:pPr>
            <w:r>
              <w:rPr/>
              <w:t> </w:t>
            </w:r>
          </w:p>
        </w:tc>
      </w:tr>
      <w:tr>
        <w:trPr/>
        <w:tc>
          <w:tcPr>
            <w:tcW w:w="373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sales</w:t>
            </w:r>
          </w:p>
        </w:tc>
        <w:tc>
          <w:tcPr>
            <w:tcW w:w="346" w:type="dxa"/>
            <w:tcBorders/>
            <w:vAlign w:val="center"/>
          </w:tcPr>
          <w:p>
            <w:pPr>
              <w:pStyle w:val="TableContents"/>
              <w:bidi w:val="0"/>
              <w:spacing w:before="0" w:after="0"/>
              <w:ind w:left="0" w:right="0" w:hanging="0"/>
              <w:jc w:val="left"/>
              <w:rPr/>
            </w:pPr>
            <w:r>
              <w:rPr/>
              <w:t>​</w:t>
            </w:r>
          </w:p>
        </w:tc>
        <w:tc>
          <w:tcPr>
            <w:tcW w:w="223"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493"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10.1</w:t>
            </w:r>
          </w:p>
        </w:tc>
        <w:tc>
          <w:tcPr>
            <w:tcW w:w="382" w:type="dxa"/>
            <w:tcBorders/>
            <w:vAlign w:val="center"/>
          </w:tcPr>
          <w:p>
            <w:pPr>
              <w:pStyle w:val="TableContents"/>
              <w:bidi w:val="0"/>
              <w:spacing w:before="0" w:after="0"/>
              <w:ind w:left="0" w:right="0" w:hanging="0"/>
              <w:jc w:val="left"/>
              <w:rPr/>
            </w:pPr>
            <w:r>
              <w:rPr/>
              <w:t>​</w:t>
            </w:r>
          </w:p>
        </w:tc>
        <w:tc>
          <w:tcPr>
            <w:tcW w:w="223"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493" w:type="dxa"/>
            <w:tcBorders/>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10.7</w:t>
            </w:r>
          </w:p>
        </w:tc>
        <w:tc>
          <w:tcPr>
            <w:tcW w:w="391" w:type="dxa"/>
            <w:tcBorders/>
            <w:vAlign w:val="center"/>
          </w:tcPr>
          <w:p>
            <w:pPr>
              <w:pStyle w:val="TableContents"/>
              <w:bidi w:val="0"/>
              <w:spacing w:before="0" w:after="0"/>
              <w:ind w:left="0" w:right="0" w:hanging="0"/>
              <w:jc w:val="left"/>
              <w:rPr/>
            </w:pPr>
            <w:r>
              <w:rPr/>
              <w:t>​</w:t>
            </w:r>
          </w:p>
        </w:tc>
        <w:tc>
          <w:tcPr>
            <w:tcW w:w="75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w:t>
            </w:r>
          </w:p>
        </w:tc>
        <w:tc>
          <w:tcPr>
            <w:tcW w:w="31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373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Cost of sales</w:t>
            </w:r>
          </w:p>
        </w:tc>
        <w:tc>
          <w:tcPr>
            <w:tcW w:w="346" w:type="dxa"/>
            <w:tcBorders/>
            <w:shd w:fill="CCEEFF" w:val="clear"/>
            <w:vAlign w:val="center"/>
          </w:tcPr>
          <w:p>
            <w:pPr>
              <w:pStyle w:val="TableContents"/>
              <w:bidi w:val="0"/>
              <w:spacing w:before="0" w:after="0"/>
              <w:ind w:left="0" w:right="0" w:hanging="0"/>
              <w:jc w:val="left"/>
              <w:rPr/>
            </w:pPr>
            <w:r>
              <w:rPr/>
              <w:t>​</w:t>
            </w:r>
          </w:p>
        </w:tc>
        <w:tc>
          <w:tcPr>
            <w:tcW w:w="223"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493"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6.9</w:t>
            </w:r>
          </w:p>
        </w:tc>
        <w:tc>
          <w:tcPr>
            <w:tcW w:w="382" w:type="dxa"/>
            <w:tcBorders/>
            <w:shd w:fill="CCEEFF" w:val="clear"/>
            <w:vAlign w:val="center"/>
          </w:tcPr>
          <w:p>
            <w:pPr>
              <w:pStyle w:val="TableContents"/>
              <w:bidi w:val="0"/>
              <w:spacing w:before="0" w:after="0"/>
              <w:ind w:left="0" w:right="0" w:hanging="0"/>
              <w:jc w:val="left"/>
              <w:rPr/>
            </w:pPr>
            <w:r>
              <w:rPr/>
              <w:t>​</w:t>
            </w:r>
          </w:p>
        </w:tc>
        <w:tc>
          <w:tcPr>
            <w:tcW w:w="223"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493"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7.4</w:t>
            </w:r>
          </w:p>
        </w:tc>
        <w:tc>
          <w:tcPr>
            <w:tcW w:w="391" w:type="dxa"/>
            <w:tcBorders/>
            <w:shd w:fill="CCEEFF" w:val="clear"/>
            <w:vAlign w:val="center"/>
          </w:tcPr>
          <w:p>
            <w:pPr>
              <w:pStyle w:val="TableContents"/>
              <w:bidi w:val="0"/>
              <w:spacing w:before="0" w:after="0"/>
              <w:ind w:left="0" w:right="0" w:hanging="0"/>
              <w:jc w:val="left"/>
              <w:rPr/>
            </w:pPr>
            <w:r>
              <w:rPr/>
              <w:t> </w:t>
            </w:r>
          </w:p>
        </w:tc>
        <w:tc>
          <w:tcPr>
            <w:tcW w:w="75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w:t>
            </w:r>
          </w:p>
        </w:tc>
        <w:tc>
          <w:tcPr>
            <w:tcW w:w="316" w:type="dxa"/>
            <w:tcBorders/>
            <w:shd w:fill="CCEEFF" w:val="clear"/>
            <w:vAlign w:val="center"/>
          </w:tcPr>
          <w:p>
            <w:pPr>
              <w:pStyle w:val="TableContents"/>
              <w:bidi w:val="0"/>
              <w:spacing w:before="0" w:after="0"/>
              <w:ind w:left="0" w:right="0" w:hanging="0"/>
              <w:jc w:val="left"/>
              <w:rPr/>
            </w:pPr>
            <w:r>
              <w:rPr/>
              <w:t> </w:t>
            </w:r>
          </w:p>
        </w:tc>
      </w:tr>
      <w:tr>
        <w:trPr/>
        <w:tc>
          <w:tcPr>
            <w:tcW w:w="373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Gross margin</w:t>
            </w:r>
          </w:p>
        </w:tc>
        <w:tc>
          <w:tcPr>
            <w:tcW w:w="346" w:type="dxa"/>
            <w:tcBorders/>
            <w:vAlign w:val="center"/>
          </w:tcPr>
          <w:p>
            <w:pPr>
              <w:pStyle w:val="TableContents"/>
              <w:bidi w:val="0"/>
              <w:spacing w:before="0" w:after="0"/>
              <w:ind w:left="0" w:right="0" w:hanging="0"/>
              <w:jc w:val="left"/>
              <w:rPr/>
            </w:pPr>
            <w:r>
              <w:rPr/>
              <w:t>​</w:t>
            </w:r>
          </w:p>
        </w:tc>
        <w:tc>
          <w:tcPr>
            <w:tcW w:w="223" w:type="dxa"/>
            <w:tcBorders/>
            <w:vAlign w:val="center"/>
          </w:tcPr>
          <w:p>
            <w:pPr>
              <w:pStyle w:val="TableContents"/>
              <w:bidi w:val="0"/>
              <w:spacing w:before="0" w:after="0"/>
              <w:ind w:left="0" w:right="0" w:hanging="0"/>
              <w:jc w:val="left"/>
              <w:rPr/>
            </w:pPr>
            <w:r>
              <w:rPr/>
              <w:t> </w:t>
            </w:r>
          </w:p>
        </w:tc>
        <w:tc>
          <w:tcPr>
            <w:tcW w:w="493"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3.2</w:t>
            </w:r>
          </w:p>
        </w:tc>
        <w:tc>
          <w:tcPr>
            <w:tcW w:w="382" w:type="dxa"/>
            <w:tcBorders/>
            <w:vAlign w:val="center"/>
          </w:tcPr>
          <w:p>
            <w:pPr>
              <w:pStyle w:val="TableContents"/>
              <w:bidi w:val="0"/>
              <w:spacing w:before="0" w:after="0"/>
              <w:ind w:left="0" w:right="0" w:hanging="0"/>
              <w:jc w:val="left"/>
              <w:rPr/>
            </w:pPr>
            <w:r>
              <w:rPr/>
              <w:t>​</w:t>
            </w:r>
          </w:p>
        </w:tc>
        <w:tc>
          <w:tcPr>
            <w:tcW w:w="223" w:type="dxa"/>
            <w:tcBorders/>
            <w:vAlign w:val="center"/>
          </w:tcPr>
          <w:p>
            <w:pPr>
              <w:pStyle w:val="TableContents"/>
              <w:bidi w:val="0"/>
              <w:spacing w:before="0" w:after="0"/>
              <w:ind w:left="0" w:right="0" w:hanging="0"/>
              <w:jc w:val="left"/>
              <w:rPr/>
            </w:pPr>
            <w:r>
              <w:rPr/>
              <w:t> </w:t>
            </w:r>
          </w:p>
        </w:tc>
        <w:tc>
          <w:tcPr>
            <w:tcW w:w="493" w:type="dxa"/>
            <w:tcBorders/>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3.3</w:t>
            </w:r>
          </w:p>
        </w:tc>
        <w:tc>
          <w:tcPr>
            <w:tcW w:w="391" w:type="dxa"/>
            <w:tcBorders/>
            <w:vAlign w:val="center"/>
          </w:tcPr>
          <w:p>
            <w:pPr>
              <w:pStyle w:val="TableContents"/>
              <w:bidi w:val="0"/>
              <w:spacing w:before="0" w:after="0"/>
              <w:ind w:left="0" w:right="0" w:hanging="0"/>
              <w:jc w:val="left"/>
              <w:rPr/>
            </w:pPr>
            <w:r>
              <w:rPr/>
              <w:t> </w:t>
            </w:r>
          </w:p>
        </w:tc>
        <w:tc>
          <w:tcPr>
            <w:tcW w:w="75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w:t>
            </w:r>
          </w:p>
        </w:tc>
        <w:tc>
          <w:tcPr>
            <w:tcW w:w="316" w:type="dxa"/>
            <w:tcBorders/>
            <w:vAlign w:val="center"/>
          </w:tcPr>
          <w:p>
            <w:pPr>
              <w:pStyle w:val="TableContents"/>
              <w:bidi w:val="0"/>
              <w:spacing w:before="0" w:after="0"/>
              <w:ind w:left="0" w:right="0" w:hanging="0"/>
              <w:jc w:val="left"/>
              <w:rPr/>
            </w:pPr>
            <w:r>
              <w:rPr/>
              <w:t> </w:t>
            </w:r>
          </w:p>
        </w:tc>
      </w:tr>
      <w:tr>
        <w:trPr/>
        <w:tc>
          <w:tcPr>
            <w:tcW w:w="373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Selling, general and administrative expenses</w:t>
            </w:r>
          </w:p>
        </w:tc>
        <w:tc>
          <w:tcPr>
            <w:tcW w:w="346" w:type="dxa"/>
            <w:tcBorders/>
            <w:shd w:fill="CCEEFF" w:val="clear"/>
            <w:vAlign w:val="center"/>
          </w:tcPr>
          <w:p>
            <w:pPr>
              <w:pStyle w:val="TableContents"/>
              <w:bidi w:val="0"/>
              <w:spacing w:before="0" w:after="0"/>
              <w:ind w:left="0" w:right="0" w:hanging="0"/>
              <w:jc w:val="left"/>
              <w:rPr/>
            </w:pPr>
            <w:r>
              <w:rPr/>
              <w:t>​</w:t>
            </w:r>
          </w:p>
        </w:tc>
        <w:tc>
          <w:tcPr>
            <w:tcW w:w="223"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493"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w:t>
            </w:r>
          </w:p>
        </w:tc>
        <w:tc>
          <w:tcPr>
            <w:tcW w:w="382" w:type="dxa"/>
            <w:tcBorders/>
            <w:shd w:fill="CCEEFF" w:val="clear"/>
            <w:vAlign w:val="center"/>
          </w:tcPr>
          <w:p>
            <w:pPr>
              <w:pStyle w:val="TableContents"/>
              <w:bidi w:val="0"/>
              <w:spacing w:before="0" w:after="0"/>
              <w:ind w:left="0" w:right="0" w:hanging="0"/>
              <w:jc w:val="left"/>
              <w:rPr/>
            </w:pPr>
            <w:r>
              <w:rPr/>
              <w:t>​</w:t>
            </w:r>
          </w:p>
        </w:tc>
        <w:tc>
          <w:tcPr>
            <w:tcW w:w="223"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493"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1.0</w:t>
            </w:r>
          </w:p>
        </w:tc>
        <w:tc>
          <w:tcPr>
            <w:tcW w:w="391" w:type="dxa"/>
            <w:tcBorders/>
            <w:shd w:fill="CCEEFF" w:val="clear"/>
            <w:vAlign w:val="center"/>
          </w:tcPr>
          <w:p>
            <w:pPr>
              <w:pStyle w:val="TableContents"/>
              <w:bidi w:val="0"/>
              <w:spacing w:before="0" w:after="0"/>
              <w:ind w:left="0" w:right="0" w:hanging="0"/>
              <w:jc w:val="left"/>
              <w:rPr/>
            </w:pPr>
            <w:r>
              <w:rPr/>
              <w:t> </w:t>
            </w:r>
          </w:p>
        </w:tc>
        <w:tc>
          <w:tcPr>
            <w:tcW w:w="75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w:t>
            </w:r>
          </w:p>
        </w:tc>
        <w:tc>
          <w:tcPr>
            <w:tcW w:w="316" w:type="dxa"/>
            <w:tcBorders/>
            <w:shd w:fill="CCEEFF" w:val="clear"/>
            <w:vAlign w:val="center"/>
          </w:tcPr>
          <w:p>
            <w:pPr>
              <w:pStyle w:val="TableContents"/>
              <w:bidi w:val="0"/>
              <w:spacing w:before="0" w:after="0"/>
              <w:ind w:left="0" w:right="0" w:hanging="0"/>
              <w:jc w:val="left"/>
              <w:rPr/>
            </w:pPr>
            <w:r>
              <w:rPr/>
              <w:t> </w:t>
            </w:r>
          </w:p>
        </w:tc>
      </w:tr>
      <w:tr>
        <w:trPr/>
        <w:tc>
          <w:tcPr>
            <w:tcW w:w="373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Reporting unit profit (2)</w:t>
            </w:r>
          </w:p>
        </w:tc>
        <w:tc>
          <w:tcPr>
            <w:tcW w:w="346" w:type="dxa"/>
            <w:tcBorders/>
            <w:vAlign w:val="center"/>
          </w:tcPr>
          <w:p>
            <w:pPr>
              <w:pStyle w:val="TableContents"/>
              <w:bidi w:val="0"/>
              <w:spacing w:before="0" w:after="0"/>
              <w:ind w:left="0" w:right="0" w:hanging="0"/>
              <w:jc w:val="left"/>
              <w:rPr/>
            </w:pPr>
            <w:r>
              <w:rPr/>
              <w:t>​</w:t>
            </w:r>
          </w:p>
        </w:tc>
        <w:tc>
          <w:tcPr>
            <w:tcW w:w="223"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493"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w:t>
            </w:r>
          </w:p>
        </w:tc>
        <w:tc>
          <w:tcPr>
            <w:tcW w:w="382" w:type="dxa"/>
            <w:tcBorders/>
            <w:vAlign w:val="center"/>
          </w:tcPr>
          <w:p>
            <w:pPr>
              <w:pStyle w:val="TableContents"/>
              <w:bidi w:val="0"/>
              <w:spacing w:before="0" w:after="0"/>
              <w:ind w:left="0" w:right="0" w:hanging="0"/>
              <w:jc w:val="left"/>
              <w:rPr/>
            </w:pPr>
            <w:r>
              <w:rPr/>
              <w:t>​</w:t>
            </w:r>
          </w:p>
        </w:tc>
        <w:tc>
          <w:tcPr>
            <w:tcW w:w="223"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493"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2.3</w:t>
            </w:r>
          </w:p>
        </w:tc>
        <w:tc>
          <w:tcPr>
            <w:tcW w:w="391" w:type="dxa"/>
            <w:tcBorders/>
            <w:vAlign w:val="center"/>
          </w:tcPr>
          <w:p>
            <w:pPr>
              <w:pStyle w:val="TableContents"/>
              <w:bidi w:val="0"/>
              <w:spacing w:before="0" w:after="0"/>
              <w:ind w:left="0" w:right="0" w:hanging="0"/>
              <w:jc w:val="left"/>
              <w:rPr/>
            </w:pPr>
            <w:r>
              <w:rPr/>
              <w:t> </w:t>
            </w:r>
          </w:p>
        </w:tc>
        <w:tc>
          <w:tcPr>
            <w:tcW w:w="75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w:t>
            </w:r>
          </w:p>
        </w:tc>
        <w:tc>
          <w:tcPr>
            <w:tcW w:w="316" w:type="dxa"/>
            <w:tcBorders/>
            <w:vAlign w:val="center"/>
          </w:tcPr>
          <w:p>
            <w:pPr>
              <w:pStyle w:val="TableContents"/>
              <w:bidi w:val="0"/>
              <w:spacing w:before="0" w:after="0"/>
              <w:ind w:left="0" w:right="0" w:hanging="0"/>
              <w:jc w:val="left"/>
              <w:rPr/>
            </w:pPr>
            <w:r>
              <w:rPr/>
              <w:t> </w:t>
            </w:r>
          </w:p>
        </w:tc>
      </w:tr>
      <w:tr>
        <w:trPr/>
        <w:tc>
          <w:tcPr>
            <w:tcW w:w="3736"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23" w:type="dxa"/>
            <w:tcBorders/>
            <w:shd w:fill="CCEEFF" w:val="clear"/>
            <w:vAlign w:val="center"/>
          </w:tcPr>
          <w:p>
            <w:pPr>
              <w:pStyle w:val="TableContents"/>
              <w:bidi w:val="0"/>
              <w:spacing w:before="0" w:after="0"/>
              <w:ind w:left="0" w:right="0" w:hanging="0"/>
              <w:jc w:val="left"/>
              <w:rPr/>
            </w:pPr>
            <w:r>
              <w:rPr/>
              <w:t>​</w:t>
            </w:r>
          </w:p>
        </w:tc>
        <w:tc>
          <w:tcPr>
            <w:tcW w:w="493" w:type="dxa"/>
            <w:tcBorders/>
            <w:shd w:fill="CCEEFF" w:val="clear"/>
            <w:vAlign w:val="center"/>
          </w:tcPr>
          <w:p>
            <w:pPr>
              <w:pStyle w:val="TableContents"/>
              <w:bidi w:val="0"/>
              <w:spacing w:before="0" w:after="0"/>
              <w:ind w:left="0" w:right="0" w:hanging="0"/>
              <w:jc w:val="left"/>
              <w:rPr/>
            </w:pPr>
            <w:r>
              <w:rPr/>
              <w:t>​</w:t>
            </w:r>
          </w:p>
        </w:tc>
        <w:tc>
          <w:tcPr>
            <w:tcW w:w="382" w:type="dxa"/>
            <w:tcBorders/>
            <w:shd w:fill="CCEEFF" w:val="clear"/>
            <w:vAlign w:val="center"/>
          </w:tcPr>
          <w:p>
            <w:pPr>
              <w:pStyle w:val="TableContents"/>
              <w:bidi w:val="0"/>
              <w:spacing w:before="0" w:after="0"/>
              <w:ind w:left="0" w:right="0" w:hanging="0"/>
              <w:jc w:val="left"/>
              <w:rPr/>
            </w:pPr>
            <w:r>
              <w:rPr/>
              <w:t>​</w:t>
            </w:r>
          </w:p>
        </w:tc>
        <w:tc>
          <w:tcPr>
            <w:tcW w:w="223" w:type="dxa"/>
            <w:tcBorders/>
            <w:shd w:fill="CCEEFF" w:val="clear"/>
            <w:vAlign w:val="center"/>
          </w:tcPr>
          <w:p>
            <w:pPr>
              <w:pStyle w:val="TableContents"/>
              <w:bidi w:val="0"/>
              <w:spacing w:before="0" w:after="0"/>
              <w:ind w:left="0" w:right="0" w:hanging="0"/>
              <w:jc w:val="left"/>
              <w:rPr/>
            </w:pPr>
            <w:r>
              <w:rPr/>
              <w:t>​</w:t>
            </w:r>
          </w:p>
        </w:tc>
        <w:tc>
          <w:tcPr>
            <w:tcW w:w="493" w:type="dxa"/>
            <w:tcBorders/>
            <w:shd w:fill="CCEEFF" w:val="clear"/>
            <w:vAlign w:val="center"/>
          </w:tcPr>
          <w:p>
            <w:pPr>
              <w:pStyle w:val="TableContents"/>
              <w:bidi w:val="0"/>
              <w:spacing w:before="0" w:after="0"/>
              <w:ind w:left="0" w:right="0" w:hanging="0"/>
              <w:jc w:val="left"/>
              <w:rPr/>
            </w:pPr>
            <w:r>
              <w:rPr/>
              <w:t>​</w:t>
            </w:r>
          </w:p>
        </w:tc>
        <w:tc>
          <w:tcPr>
            <w:tcW w:w="391" w:type="dxa"/>
            <w:tcBorders/>
            <w:shd w:fill="CCEEFF" w:val="clear"/>
            <w:vAlign w:val="center"/>
          </w:tcPr>
          <w:p>
            <w:pPr>
              <w:pStyle w:val="TableContents"/>
              <w:bidi w:val="0"/>
              <w:spacing w:before="0" w:after="0"/>
              <w:ind w:left="0" w:right="0" w:hanging="0"/>
              <w:jc w:val="left"/>
              <w:rPr/>
            </w:pPr>
            <w:r>
              <w:rPr/>
              <w:t>​</w:t>
            </w:r>
          </w:p>
        </w:tc>
        <w:tc>
          <w:tcPr>
            <w:tcW w:w="751" w:type="dxa"/>
            <w:tcBorders/>
            <w:shd w:fill="CCEEFF" w:val="clear"/>
            <w:vAlign w:val="center"/>
          </w:tcPr>
          <w:p>
            <w:pPr>
              <w:pStyle w:val="TableContents"/>
              <w:bidi w:val="0"/>
              <w:spacing w:before="0" w:after="0"/>
              <w:ind w:left="0" w:right="0" w:hanging="0"/>
              <w:jc w:val="left"/>
              <w:rPr/>
            </w:pPr>
            <w:r>
              <w:rPr/>
              <w:t>​</w:t>
            </w:r>
          </w:p>
        </w:tc>
        <w:tc>
          <w:tcPr>
            <w:tcW w:w="316" w:type="dxa"/>
            <w:tcBorders/>
            <w:shd w:fill="CCEEFF" w:val="clear"/>
            <w:vAlign w:val="center"/>
          </w:tcPr>
          <w:p>
            <w:pPr>
              <w:pStyle w:val="TableContents"/>
              <w:bidi w:val="0"/>
              <w:spacing w:before="0" w:after="0"/>
              <w:ind w:left="0" w:right="0" w:hanging="0"/>
              <w:jc w:val="left"/>
              <w:rPr/>
            </w:pPr>
            <w:r>
              <w:rPr/>
              <w:t>​</w:t>
            </w:r>
          </w:p>
        </w:tc>
      </w:tr>
      <w:tr>
        <w:trPr/>
        <w:tc>
          <w:tcPr>
            <w:tcW w:w="373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Gross margin</w:t>
            </w:r>
          </w:p>
        </w:tc>
        <w:tc>
          <w:tcPr>
            <w:tcW w:w="346" w:type="dxa"/>
            <w:tcBorders/>
            <w:vAlign w:val="center"/>
          </w:tcPr>
          <w:p>
            <w:pPr>
              <w:pStyle w:val="TableContents"/>
              <w:bidi w:val="0"/>
              <w:spacing w:before="0" w:after="0"/>
              <w:ind w:left="0" w:right="0" w:hanging="0"/>
              <w:jc w:val="left"/>
              <w:rPr/>
            </w:pPr>
            <w:r>
              <w:rPr/>
              <w:t>​</w:t>
            </w:r>
          </w:p>
        </w:tc>
        <w:tc>
          <w:tcPr>
            <w:tcW w:w="223" w:type="dxa"/>
            <w:tcBorders/>
            <w:vAlign w:val="center"/>
          </w:tcPr>
          <w:p>
            <w:pPr>
              <w:pStyle w:val="TableContents"/>
              <w:bidi w:val="0"/>
              <w:spacing w:before="0" w:after="0"/>
              <w:ind w:left="0" w:right="0" w:hanging="0"/>
              <w:jc w:val="left"/>
              <w:rPr/>
            </w:pPr>
            <w:r>
              <w:rPr/>
              <w:t> </w:t>
            </w:r>
          </w:p>
        </w:tc>
        <w:tc>
          <w:tcPr>
            <w:tcW w:w="493"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32.0</w:t>
            </w:r>
          </w:p>
        </w:tc>
        <w:tc>
          <w:tcPr>
            <w:tcW w:w="382"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c>
          <w:tcPr>
            <w:tcW w:w="223" w:type="dxa"/>
            <w:tcBorders/>
            <w:vAlign w:val="center"/>
          </w:tcPr>
          <w:p>
            <w:pPr>
              <w:pStyle w:val="TableContents"/>
              <w:bidi w:val="0"/>
              <w:spacing w:before="0" w:after="0"/>
              <w:ind w:left="0" w:right="0" w:hanging="0"/>
              <w:jc w:val="left"/>
              <w:rPr/>
            </w:pPr>
            <w:r>
              <w:rPr/>
              <w:t> </w:t>
            </w:r>
          </w:p>
        </w:tc>
        <w:tc>
          <w:tcPr>
            <w:tcW w:w="493" w:type="dxa"/>
            <w:tcBorders/>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30.2</w:t>
            </w:r>
          </w:p>
        </w:tc>
        <w:tc>
          <w:tcPr>
            <w:tcW w:w="391"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  </w:t>
            </w:r>
          </w:p>
        </w:tc>
        <w:tc>
          <w:tcPr>
            <w:tcW w:w="751" w:type="dxa"/>
            <w:tcBorders/>
            <w:vAlign w:val="center"/>
          </w:tcPr>
          <w:p>
            <w:pPr>
              <w:pStyle w:val="TableContents"/>
              <w:bidi w:val="0"/>
              <w:spacing w:before="0" w:after="0"/>
              <w:ind w:left="0" w:right="0" w:hanging="0"/>
              <w:jc w:val="right"/>
              <w:rPr/>
            </w:pPr>
            <w:r>
              <w:rPr/>
              <w:t>  ​</w:t>
            </w:r>
          </w:p>
        </w:tc>
        <w:tc>
          <w:tcPr>
            <w:tcW w:w="316" w:type="dxa"/>
            <w:tcBorders/>
            <w:vAlign w:val="center"/>
          </w:tcPr>
          <w:p>
            <w:pPr>
              <w:pStyle w:val="TableContents"/>
              <w:bidi w:val="0"/>
              <w:spacing w:before="0" w:after="0"/>
              <w:ind w:left="0" w:right="0" w:hanging="0"/>
              <w:jc w:val="left"/>
              <w:rPr/>
            </w:pPr>
            <w:r>
              <w:rPr/>
              <w:t>​</w:t>
            </w:r>
          </w:p>
        </w:tc>
      </w:tr>
      <w:tr>
        <w:trPr/>
        <w:tc>
          <w:tcPr>
            <w:tcW w:w="373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Reporting unit profit margin</w:t>
            </w:r>
          </w:p>
        </w:tc>
        <w:tc>
          <w:tcPr>
            <w:tcW w:w="346" w:type="dxa"/>
            <w:tcBorders/>
            <w:shd w:fill="CCEEFF" w:val="clear"/>
            <w:vAlign w:val="center"/>
          </w:tcPr>
          <w:p>
            <w:pPr>
              <w:pStyle w:val="TableContents"/>
              <w:bidi w:val="0"/>
              <w:spacing w:before="0" w:after="0"/>
              <w:ind w:left="0" w:right="0" w:hanging="0"/>
              <w:jc w:val="left"/>
              <w:rPr/>
            </w:pPr>
            <w:r>
              <w:rPr/>
              <w:t>​</w:t>
            </w:r>
          </w:p>
        </w:tc>
        <w:tc>
          <w:tcPr>
            <w:tcW w:w="223" w:type="dxa"/>
            <w:tcBorders/>
            <w:shd w:fill="CCEEFF" w:val="clear"/>
            <w:vAlign w:val="center"/>
          </w:tcPr>
          <w:p>
            <w:pPr>
              <w:pStyle w:val="TableContents"/>
              <w:bidi w:val="0"/>
              <w:spacing w:before="0" w:after="0"/>
              <w:ind w:left="0" w:right="0" w:hanging="0"/>
              <w:jc w:val="left"/>
              <w:rPr/>
            </w:pPr>
            <w:r>
              <w:rPr/>
              <w:t> </w:t>
            </w:r>
          </w:p>
        </w:tc>
        <w:tc>
          <w:tcPr>
            <w:tcW w:w="49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22.0</w:t>
            </w:r>
          </w:p>
        </w:tc>
        <w:tc>
          <w:tcPr>
            <w:tcW w:w="382" w:type="dxa"/>
            <w:tcBorders/>
            <w:shd w:fill="CCEEFF" w:val="clear"/>
            <w:vAlign w:val="center"/>
          </w:tcPr>
          <w:p>
            <w:pPr>
              <w:pStyle w:val="TableContents"/>
              <w:bidi w:val="0"/>
              <w:spacing w:before="0" w:after="0"/>
              <w:ind w:left="0" w:right="0" w:hanging="0"/>
              <w:jc w:val="left"/>
              <w:rPr/>
            </w:pPr>
            <w:r>
              <w:rPr/>
              <w:t>​</w:t>
            </w:r>
          </w:p>
        </w:tc>
        <w:tc>
          <w:tcPr>
            <w:tcW w:w="223" w:type="dxa"/>
            <w:tcBorders/>
            <w:shd w:fill="CCEEFF" w:val="clear"/>
            <w:vAlign w:val="center"/>
          </w:tcPr>
          <w:p>
            <w:pPr>
              <w:pStyle w:val="TableContents"/>
              <w:bidi w:val="0"/>
              <w:spacing w:before="0" w:after="0"/>
              <w:ind w:left="0" w:right="0" w:hanging="0"/>
              <w:jc w:val="left"/>
              <w:rPr/>
            </w:pPr>
            <w:r>
              <w:rPr/>
              <w:t> </w:t>
            </w:r>
          </w:p>
        </w:tc>
        <w:tc>
          <w:tcPr>
            <w:tcW w:w="493"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21.7</w:t>
            </w:r>
          </w:p>
        </w:tc>
        <w:tc>
          <w:tcPr>
            <w:tcW w:w="391" w:type="dxa"/>
            <w:tcBorders/>
            <w:shd w:fill="CCEEFF" w:val="clear"/>
            <w:vAlign w:val="center"/>
          </w:tcPr>
          <w:p>
            <w:pPr>
              <w:pStyle w:val="TableContents"/>
              <w:bidi w:val="0"/>
              <w:spacing w:before="0" w:after="0"/>
              <w:ind w:left="0" w:right="0" w:hanging="0"/>
              <w:jc w:val="left"/>
              <w:rPr/>
            </w:pPr>
            <w:r>
              <w:rPr/>
              <w:t> </w:t>
            </w:r>
          </w:p>
        </w:tc>
        <w:tc>
          <w:tcPr>
            <w:tcW w:w="751" w:type="dxa"/>
            <w:tcBorders/>
            <w:shd w:fill="CCEEFF" w:val="clear"/>
            <w:vAlign w:val="center"/>
          </w:tcPr>
          <w:p>
            <w:pPr>
              <w:pStyle w:val="TableContents"/>
              <w:bidi w:val="0"/>
              <w:spacing w:before="0" w:after="0"/>
              <w:ind w:left="0" w:right="0" w:hanging="0"/>
              <w:jc w:val="right"/>
              <w:rPr/>
            </w:pPr>
            <w:r>
              <w:rPr/>
              <w:t>  ​</w:t>
            </w:r>
          </w:p>
        </w:tc>
        <w:tc>
          <w:tcPr>
            <w:tcW w:w="316" w:type="dxa"/>
            <w:tcBorders/>
            <w:shd w:fill="CCEEFF" w:val="clear"/>
            <w:vAlign w:val="center"/>
          </w:tcPr>
          <w:p>
            <w:pPr>
              <w:pStyle w:val="TableContents"/>
              <w:bidi w:val="0"/>
              <w:spacing w:before="0" w:after="0"/>
              <w:ind w:left="0" w:right="0" w:hanging="0"/>
              <w:jc w:val="left"/>
              <w:rPr/>
            </w:pPr>
            <w:r>
              <w:rPr/>
              <w:t> </w:t>
            </w:r>
          </w:p>
        </w:tc>
      </w:tr>
    </w:tbl>
    <w:tbl>
      <w:tblPr>
        <w:tblW w:w="10205" w:type="dxa"/>
        <w:jc w:val="left"/>
        <w:tblInd w:w="0" w:type="dxa"/>
        <w:tblLayout w:type="fixed"/>
        <w:tblCellMar>
          <w:top w:w="28" w:type="dxa"/>
          <w:left w:w="28" w:type="dxa"/>
          <w:bottom w:w="28" w:type="dxa"/>
          <w:right w:w="28" w:type="dxa"/>
        </w:tblCellMar>
      </w:tblPr>
      <w:tblGrid>
        <w:gridCol w:w="124"/>
        <w:gridCol w:w="306"/>
        <w:gridCol w:w="9775"/>
      </w:tblGrid>
      <w:tr>
        <w:trPr/>
        <w:tc>
          <w:tcPr>
            <w:tcW w:w="124" w:type="dxa"/>
            <w:tcBorders/>
            <w:vAlign w:val="center"/>
          </w:tcPr>
          <w:p>
            <w:pPr>
              <w:pStyle w:val="TableContents"/>
              <w:bidi w:val="0"/>
              <w:spacing w:before="0" w:after="283"/>
              <w:jc w:val="left"/>
              <w:rPr>
                <w:sz w:val="4"/>
                <w:szCs w:val="4"/>
              </w:rPr>
            </w:pPr>
            <w:r>
              <w:rPr>
                <w:sz w:val="4"/>
                <w:szCs w:val="4"/>
              </w:rPr>
            </w:r>
          </w:p>
        </w:tc>
        <w:tc>
          <w:tcPr>
            <w:tcW w:w="30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w:t>
            </w:r>
          </w:p>
        </w:tc>
        <w:tc>
          <w:tcPr>
            <w:tcW w:w="977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Reporting unit profit includes reporting unit sales less cost of sales and selling, general and administrative expenses directly attributable to the reporting unit. Interunit sales are not material.</w:t>
            </w:r>
          </w:p>
        </w:tc>
      </w:tr>
    </w:tbl>
    <w:p>
      <w:pPr>
        <w:pStyle w:val="TextBody"/>
        <w:bidi w:val="0"/>
        <w:spacing w:before="240" w:after="240"/>
        <w:ind w:left="0" w:right="0" w:firstLine="720"/>
        <w:jc w:val="both"/>
        <w:rPr>
          <w:rFonts w:ascii="Times New Roman;Times;serif" w:hAnsi="Times New Roman;Times;serif"/>
          <w:sz w:val="20"/>
        </w:rPr>
      </w:pPr>
      <w:r>
        <w:rPr>
          <w:rFonts w:ascii="Times New Roman;Times;serif" w:hAnsi="Times New Roman;Times;serif"/>
          <w:b/>
          <w:i/>
          <w:sz w:val="20"/>
        </w:rPr>
        <w:t>Marine Components </w:t>
      </w:r>
      <w:r>
        <w:rPr>
          <w:rFonts w:ascii="Times New Roman;Times;serif" w:hAnsi="Times New Roman;Times;serif"/>
          <w:sz w:val="20"/>
        </w:rPr>
        <w:t xml:space="preserve">– Marine Components net sales increased 6% in the first quarter of 2026 compared to the same period last year primarily due to $1.9 million higher sales to the industrial market partially offset by $1.4 million lower sales to the towboat market. Towboat market sales in the first quarter of 2025 benefitted from a one-time customer stocking event that did not repeat in 2026. Gross margin as a percentage of net sales decreased in the first quarter of 2026 compared to the same period last year primarily due to higher cost inventory produced during the fourth quarter of 2025 and sold in the first quarter of 2026, partially offset by increased coverage of fixed costs on higher sales. Reporting unit profit margin decreased primarily due to the factors impacting gross margin discussed above, partially offset by increased coverage of selling, general and administrative expenses on higher sales. </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b/>
          <w:i/>
          <w:sz w:val="20"/>
        </w:rPr>
        <w:t>Outlook </w:t>
      </w:r>
      <w:r>
        <w:rPr>
          <w:rFonts w:ascii="Times New Roman;Times;serif" w:hAnsi="Times New Roman;Times;serif"/>
          <w:sz w:val="20"/>
        </w:rPr>
        <w:t xml:space="preserve">– CompX’s net sales for the first quarter of 2026 exceeded the prior year period, primarily driven by improved demand in the industrial market at CompX’s Marine Components reporting unit. CompX’s Security Products reporting unit sales reflected mixed performance across the original equipment manufacturer (“OEM”) markets, driven by differences in customer demand cycles and project timing, resulting in slightly lower net sales compared to the prior year period. CompX’s segment profit increased compared to the prior </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22</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year primarily due to a more favorable customer and product mix at Security Products and, to a lesser extent, the impact of higher sales at Marine Components.</w:t>
      </w:r>
    </w:p>
    <w:p>
      <w:pPr>
        <w:pStyle w:val="TextBody"/>
        <w:bidi w:val="0"/>
        <w:spacing w:before="240" w:after="0"/>
        <w:ind w:left="0" w:right="0" w:firstLine="720"/>
        <w:jc w:val="both"/>
        <w:rPr>
          <w:rFonts w:ascii="Times New Roman;Times;serif" w:hAnsi="Times New Roman;Times;serif"/>
          <w:sz w:val="20"/>
        </w:rPr>
      </w:pPr>
      <w:r>
        <w:rPr>
          <w:rFonts w:ascii="Times New Roman;Times;serif" w:hAnsi="Times New Roman;Times;serif"/>
          <w:sz w:val="20"/>
        </w:rPr>
        <w:t xml:space="preserve">For the full year 2026, CompX expects modest net sales growth as it continues to align pricing, product features, and service levels with market conditions and customer requirements. CompX’s net sales growth at Marine Components is expected to be driven primarily by the industrial market. Recreational marine sales have largely stabilized and CompX’s sales to the towboat market in 2026 are expected to be generally comparable to 2025 (excluding the impact of the one-time stocking event noted above). At Security Products, CompX expects net sales to be consistent with the prior year, reflecting anticipated continued variability across multiple OEM markets. </w:t>
      </w:r>
    </w:p>
    <w:p>
      <w:pPr>
        <w:pStyle w:val="TextBody"/>
        <w:bidi w:val="0"/>
        <w:spacing w:before="240" w:after="0"/>
        <w:ind w:left="0" w:right="0" w:firstLine="720"/>
        <w:jc w:val="both"/>
        <w:rPr>
          <w:rFonts w:ascii="Times New Roman;Times;serif" w:hAnsi="Times New Roman;Times;serif"/>
          <w:sz w:val="20"/>
        </w:rPr>
      </w:pPr>
      <w:r>
        <w:rPr>
          <w:rFonts w:ascii="Times New Roman;Times;serif" w:hAnsi="Times New Roman;Times;serif"/>
          <w:sz w:val="20"/>
        </w:rPr>
        <w:t xml:space="preserve">CompX expects gross margin and reporting unit proft margins across both reporting units in 2026 to remain generally comparable to 2025. Reporting unit profit margin at Security Products benefited from favorable mix in the first quarter; however, margins are expected to moderate over the remainder of the year. CompX increased inventory levels across both reporting units during 2025 to support customer demand. These actions included an insourcing initiative at Security Products and a shift in customer mix at Marine Components. Inventory levels at the end of the first quarter of 2026 were comparable to those at December 31, 2025, and are expected to remain at these levels, consistent with near-term operating requirements. </w:t>
      </w:r>
    </w:p>
    <w:p>
      <w:pPr>
        <w:pStyle w:val="TextBody"/>
        <w:bidi w:val="0"/>
        <w:spacing w:before="240" w:after="0"/>
        <w:ind w:left="0" w:right="0" w:firstLine="720"/>
        <w:jc w:val="both"/>
        <w:rPr>
          <w:rFonts w:ascii="Times New Roman;Times;serif" w:hAnsi="Times New Roman;Times;serif"/>
          <w:sz w:val="20"/>
        </w:rPr>
      </w:pPr>
      <w:r>
        <w:rPr>
          <w:rFonts w:ascii="Times New Roman;Times;serif" w:hAnsi="Times New Roman;Times;serif"/>
          <w:sz w:val="20"/>
        </w:rPr>
        <w:t xml:space="preserve">CompX manufactures substantially all its products in the U.S. and sources a substantial majority of its raw materials from U.S. suppliers. CompX also sources certain components, primarily electronic components, from suppliers in Asia, including China. Beginning in the second quarter of 2025 and continuing through the first quarter of 2026, CompX incurred tariff-related surcharges on certain raw materials, primarily electronic components. In addition, some of CompX’s U.S.-based suppliers are applying tariff-related surcharges on certain domestically sourced materials. Where possible, CompX increases selling prices to recover these higher raw material costs, although the extent to which it can fully recover such costs will depend on a variety of factors including the ultimate tariff rate, duration of tariffs, and its customers’ ability to substitute alternative products. CompX will continue to monitor current and anticipated near-term customer demand levels to ensure its production capabilities and inventories are aligned accordingly. </w:t>
      </w:r>
    </w:p>
    <w:p>
      <w:pPr>
        <w:pStyle w:val="TextBody"/>
        <w:bidi w:val="0"/>
        <w:spacing w:before="240" w:after="0"/>
        <w:ind w:left="0" w:right="0" w:firstLine="720"/>
        <w:jc w:val="both"/>
        <w:rPr>
          <w:rFonts w:ascii="Times New Roman;Times;serif" w:hAnsi="Times New Roman;Times;serif"/>
          <w:sz w:val="20"/>
        </w:rPr>
      </w:pPr>
      <w:r>
        <w:rPr>
          <w:rFonts w:ascii="Times New Roman;Times;serif" w:hAnsi="Times New Roman;Times;serif"/>
          <w:sz w:val="20"/>
        </w:rPr>
        <w:t>CompX’s expectations for its operations and the markets it serves are based on a number of factors outside its control. Currently, CompX’s supply chains are stable and transportation and logistical delays are minimal. CompX has experienced global and domestic supply chain challenges in the past. Any future impacts on CompX’s operations will depend on, among other things, disruption to its operations or its suppliers’ operations, the effect of tariffs, and the impact of broader economic conditions, consumer confidence, and geopolitical events affecting demand for its products or its customers’ and suppliers’ operations, all of which remain uncertain and cannot be predicted</w:t>
      </w:r>
      <w:r>
        <w:rPr>
          <w:rFonts w:ascii="Times New Roman;Times;serif" w:hAnsi="Times New Roman;Times;serif"/>
          <w:sz w:val="22"/>
        </w:rPr>
        <w:t>.</w:t>
      </w:r>
    </w:p>
    <w:p>
      <w:pPr>
        <w:pStyle w:val="TextBody"/>
        <w:bidi w:val="0"/>
        <w:spacing w:before="240" w:after="240"/>
        <w:ind w:left="0" w:right="0" w:hanging="0"/>
        <w:jc w:val="left"/>
        <w:rPr>
          <w:rFonts w:ascii="Times New Roman;Times;serif" w:hAnsi="Times New Roman;Times;serif"/>
          <w:b/>
          <w:i/>
          <w:sz w:val="20"/>
        </w:rPr>
      </w:pPr>
      <w:r>
        <w:rPr>
          <w:rFonts w:ascii="Times New Roman;Times;serif" w:hAnsi="Times New Roman;Times;serif"/>
          <w:b/>
          <w:i/>
          <w:sz w:val="20"/>
        </w:rPr>
        <w:t>General corporate and other items</w:t>
      </w:r>
    </w:p>
    <w:p>
      <w:pPr>
        <w:pStyle w:val="TextBody"/>
        <w:bidi w:val="0"/>
        <w:spacing w:before="240" w:after="0"/>
        <w:ind w:left="0" w:right="0" w:firstLine="720"/>
        <w:jc w:val="both"/>
        <w:rPr>
          <w:rFonts w:ascii="Times New Roman;Times;serif" w:hAnsi="Times New Roman;Times;serif"/>
          <w:sz w:val="20"/>
        </w:rPr>
      </w:pPr>
      <w:r>
        <w:rPr>
          <w:rFonts w:ascii="Times New Roman;Times;serif" w:hAnsi="Times New Roman;Times;serif"/>
          <w:b/>
          <w:i/>
          <w:sz w:val="20"/>
        </w:rPr>
        <w:t>Corporate expense </w:t>
      </w:r>
      <w:r>
        <w:rPr>
          <w:rFonts w:ascii="Times New Roman;Times;serif" w:hAnsi="Times New Roman;Times;serif"/>
          <w:sz w:val="20"/>
        </w:rPr>
        <w:t>– Corporate expenses were $3.0 million in the first quarter of 2026, slightly higher than in the first quarter of 2025 primarily due to higher general and administrative costs. Included in corporate expense in the first quarter of 2025 and 2026 are:</w:t>
      </w:r>
    </w:p>
    <w:tbl>
      <w:tblPr>
        <w:tblW w:w="7941" w:type="dxa"/>
        <w:jc w:val="left"/>
        <w:tblInd w:w="0" w:type="dxa"/>
        <w:tblLayout w:type="fixed"/>
        <w:tblCellMar>
          <w:top w:w="28" w:type="dxa"/>
          <w:left w:w="28" w:type="dxa"/>
          <w:bottom w:w="28" w:type="dxa"/>
          <w:right w:w="28" w:type="dxa"/>
        </w:tblCellMar>
      </w:tblPr>
      <w:tblGrid>
        <w:gridCol w:w="124"/>
        <w:gridCol w:w="256"/>
        <w:gridCol w:w="756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756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litigation fees and related costs of $.6 million in 2026 compared to $.5 million in 2025, and</w:t>
            </w:r>
          </w:p>
        </w:tc>
      </w:tr>
    </w:tbl>
    <w:tbl>
      <w:tblPr>
        <w:tblW w:w="8676" w:type="dxa"/>
        <w:jc w:val="left"/>
        <w:tblInd w:w="0" w:type="dxa"/>
        <w:tblLayout w:type="fixed"/>
        <w:tblCellMar>
          <w:top w:w="28" w:type="dxa"/>
          <w:left w:w="28" w:type="dxa"/>
          <w:bottom w:w="28" w:type="dxa"/>
          <w:right w:w="28" w:type="dxa"/>
        </w:tblCellMar>
      </w:tblPr>
      <w:tblGrid>
        <w:gridCol w:w="124"/>
        <w:gridCol w:w="256"/>
        <w:gridCol w:w="829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829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environmental remediation and related costs of $.4 million in 2026 compared to $.6 million in 2025.</w:t>
            </w:r>
          </w:p>
        </w:tc>
      </w:tr>
    </w:tbl>
    <w:p>
      <w:pPr>
        <w:pStyle w:val="TextBody"/>
        <w:bidi w:val="0"/>
        <w:spacing w:before="240" w:after="0"/>
        <w:ind w:left="0" w:right="0" w:firstLine="720"/>
        <w:jc w:val="both"/>
        <w:rPr>
          <w:rFonts w:ascii="Times New Roman;Times;serif" w:hAnsi="Times New Roman;Times;serif"/>
          <w:sz w:val="20"/>
        </w:rPr>
      </w:pPr>
      <w:r>
        <w:rPr>
          <w:rFonts w:ascii="Times New Roman;Times;serif" w:hAnsi="Times New Roman;Times;serif"/>
          <w:spacing w:val="-2"/>
          <w:sz w:val="20"/>
        </w:rPr>
        <w:t xml:space="preserve">The level of our litigation fees and related costs varies from period to period depending upon, among other things, the number of cases in which we are currently involved, the nature of such cases and the current stage of such cases (e.g. discovery, pre-trial motions, trial or appeal, if applicable). </w:t>
      </w:r>
      <w:r>
        <w:rPr>
          <w:rFonts w:ascii="Times New Roman;Times;serif" w:hAnsi="Times New Roman;Times;serif"/>
          <w:sz w:val="20"/>
        </w:rPr>
        <w:t xml:space="preserve">See Note 14 to our Condensed Consolidated Financial Statements. If our current expectations regarding the </w:t>
      </w:r>
      <w:r>
        <w:rPr>
          <w:rFonts w:ascii="Times New Roman;Times;serif" w:hAnsi="Times New Roman;Times;serif"/>
          <w:spacing w:val="-2"/>
          <w:sz w:val="20"/>
        </w:rPr>
        <w:t>number of cases in which we expect to be involved during 2026 or the nature of such cases were to change, our corporate expenses could be higher than we currently estimate.</w:t>
      </w:r>
    </w:p>
    <w:p>
      <w:pPr>
        <w:pStyle w:val="TextBody"/>
        <w:bidi w:val="0"/>
        <w:spacing w:before="240" w:after="240"/>
        <w:ind w:left="0" w:right="0" w:firstLine="720"/>
        <w:jc w:val="both"/>
        <w:rPr>
          <w:rFonts w:ascii="Times New Roman;Times;serif" w:hAnsi="Times New Roman;Times;serif"/>
          <w:sz w:val="20"/>
        </w:rPr>
      </w:pPr>
      <w:r>
        <w:rPr>
          <w:rFonts w:ascii="Times New Roman;Times;serif" w:hAnsi="Times New Roman;Times;serif"/>
          <w:sz w:val="20"/>
        </w:rPr>
        <w:t>Obligations for environmental remediation costs are difficult to assess and estimate and it is possible that actual costs for environmental remediation will exceed accrued amounts or that costs will be incurred in the future for sites in which we cannot currently estimate our liability. If these events were to occur in 2026, our corporate expenses would be higher than we currently estimate.  In addition, we adjust our environmental accruals as further information becomes available to us or as circumstances change.  Such further information or changed circumstances could result in an increase in our accrued environmental costs. See Note 14 to our Condensed Consolidated Financial Statements.</w:t>
      </w:r>
    </w:p>
    <w:p>
      <w:pPr>
        <w:pStyle w:val="TextBody"/>
        <w:bidi w:val="0"/>
        <w:spacing w:before="240" w:after="240"/>
        <w:ind w:left="0" w:right="0" w:firstLine="720"/>
        <w:jc w:val="both"/>
        <w:rPr>
          <w:rFonts w:ascii="Times New Roman;Times;serif" w:hAnsi="Times New Roman;Times;serif"/>
          <w:sz w:val="20"/>
        </w:rPr>
      </w:pPr>
      <w:r>
        <w:rPr>
          <w:rFonts w:ascii="Times New Roman;Times;serif" w:hAnsi="Times New Roman;Times;serif"/>
          <w:sz w:val="20"/>
        </w:rPr>
        <w:t>Overall, we currently expect that our net general corporate expenses in 2026 will be higher than in 2025 primarily due to expected increases in litigation fees and related costs. See Note 14 to our Condensed Consolidated Financial Statements.</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23</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b/>
          <w:i/>
          <w:sz w:val="20"/>
        </w:rPr>
        <w:t>Interest and dividend income </w:t>
      </w:r>
      <w:r>
        <w:rPr>
          <w:rFonts w:ascii="Times New Roman;Times;serif" w:hAnsi="Times New Roman;Times;serif"/>
          <w:sz w:val="20"/>
        </w:rPr>
        <w:t>– Interest and dividend income decreased in the first quarter of 2026 compared to the same period of 2025 primarily due to decreased average investment balances and lower average interest rates.</w:t>
      </w:r>
    </w:p>
    <w:p>
      <w:pPr>
        <w:pStyle w:val="TextBody"/>
        <w:bidi w:val="0"/>
        <w:spacing w:before="240" w:after="240"/>
        <w:ind w:left="0" w:right="0" w:firstLine="720"/>
        <w:jc w:val="both"/>
        <w:rPr>
          <w:rFonts w:ascii="Times New Roman;Times;serif" w:hAnsi="Times New Roman;Times;serif"/>
          <w:sz w:val="20"/>
        </w:rPr>
      </w:pPr>
      <w:r>
        <w:rPr>
          <w:rFonts w:ascii="Times New Roman;Times;serif" w:hAnsi="Times New Roman;Times;serif"/>
          <w:b/>
          <w:i/>
          <w:sz w:val="20"/>
        </w:rPr>
        <w:t>Marketable equity securities </w:t>
      </w:r>
      <w:r>
        <w:rPr>
          <w:rFonts w:ascii="Times New Roman;Times;serif" w:hAnsi="Times New Roman;Times;serif"/>
          <w:sz w:val="20"/>
        </w:rPr>
        <w:t>– We recognized an unrealized gain of $2.7 million on the change in value of our marketable equity securities in the first quarter of 2026 compared to an unrealized loss of $8.5 million in the first quarter of 2025. See Note 5 to our Condensed Consolidated Financial Statements.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b/>
          <w:i/>
          <w:sz w:val="20"/>
        </w:rPr>
        <w:t>Income tax expense </w:t>
      </w:r>
      <w:r>
        <w:rPr>
          <w:rFonts w:ascii="Times New Roman;Times;serif" w:hAnsi="Times New Roman;Times;serif"/>
          <w:sz w:val="20"/>
        </w:rPr>
        <w:t>– We recognized income tax expense of  $1.5 million in the first quarter of 2026 compared to an income tax benefit of less than $.1 million in the first quarter of 2025. In accordance with GAAP, we recognize deferred income taxes on our undistributed equity in earnings of Kronos. Because we and Kronos are part of the same U.S. federal income tax group, any dividends we receive from Kronos are nontaxable to us. Accordingly, we do not recognize and we are not required to pay income taxes on dividends from Kronos. Therefore, our full-year effective income tax rate will generally be lower than the U.S. federal statutory income tax rate in years during which we receive dividends from Kronos and recognize equity in earnings of Kronos. Conversely, our effective income tax rate will generally be higher than the U.S. federal statutory income tax rate in years during which we receive dividends from Kronos and recognize equity in losses of Kronos. During interim periods, our effective income tax rate may not necessarily correspond to the foregoing due to the application of accounting for income taxes in interim periods which requires us to base our effective rate on full year projections. We received dividends from Kronos of $1.8 million in each of the first quarters of 2025 and 2026, respectively.</w:t>
      </w:r>
    </w:p>
    <w:p>
      <w:pPr>
        <w:pStyle w:val="TextBody"/>
        <w:bidi w:val="0"/>
        <w:spacing w:before="240" w:after="240"/>
        <w:ind w:left="0" w:right="0" w:firstLine="720"/>
        <w:jc w:val="both"/>
        <w:rPr>
          <w:rFonts w:ascii="Times New Roman;Times;serif" w:hAnsi="Times New Roman;Times;serif"/>
          <w:sz w:val="20"/>
        </w:rPr>
      </w:pPr>
      <w:r>
        <w:rPr>
          <w:rFonts w:ascii="Times New Roman;Times;serif" w:hAnsi="Times New Roman;Times;serif"/>
          <w:sz w:val="20"/>
        </w:rPr>
        <w:t>Our effective tax rate attributable to our equity in earnings of Kronos, including the effect of the nontaxable dividends we received from Kronos, was 22.7% in the first three months of 2026 compared to 15.2% in the first three months of 2025. The change in our effective rate from 2025 to 2026 is primarily attributable to Kronos’ anticipated higher full year earnings in 2026 as compared to 2025. See Note 12 to our Condensed Consolidated Financial Statements for more information about our 2026 income tax items, including a tabular reconciliation of our statutory tax expense to our actual expense.</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b/>
          <w:i/>
          <w:sz w:val="20"/>
        </w:rPr>
        <w:t>Noncontrolling interest </w:t>
      </w:r>
      <w:r>
        <w:rPr>
          <w:rFonts w:ascii="Times New Roman;Times;serif" w:hAnsi="Times New Roman;Times;serif"/>
          <w:sz w:val="20"/>
        </w:rPr>
        <w:t xml:space="preserve">– Noncontrolling </w:t>
      </w:r>
      <w:r>
        <w:rPr>
          <w:rFonts w:ascii="Times New Roman;Times;serif" w:hAnsi="Times New Roman;Times;serif"/>
          <w:spacing w:val="-2"/>
          <w:sz w:val="20"/>
        </w:rPr>
        <w:t xml:space="preserve">interest in net income of CompX increased during the first quarter of 2026 compared to the same prior year period. The noncontrolling interest we recognize in each period is directly related to the level of earnings at CompX for the period. </w:t>
      </w:r>
    </w:p>
    <w:p>
      <w:pPr>
        <w:pStyle w:val="TextBody"/>
        <w:bidi w:val="0"/>
        <w:spacing w:before="0" w:after="240"/>
        <w:ind w:left="0" w:right="0" w:firstLine="360"/>
        <w:jc w:val="both"/>
        <w:rPr/>
      </w:pPr>
      <w:r>
        <w:rPr/>
        <w:t>​</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24</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 xml:space="preserve">Equity in earnings (losses) of Kronos Worldwide, Inc. – </w:t>
      </w:r>
    </w:p>
    <w:tbl>
      <w:tblPr>
        <w:tblW w:w="8485" w:type="dxa"/>
        <w:jc w:val="left"/>
        <w:tblInd w:w="0" w:type="dxa"/>
        <w:tblLayout w:type="fixed"/>
        <w:tblCellMar>
          <w:top w:w="0" w:type="dxa"/>
          <w:left w:w="0" w:type="dxa"/>
          <w:bottom w:w="0" w:type="dxa"/>
          <w:right w:w="0" w:type="dxa"/>
        </w:tblCellMar>
      </w:tblPr>
      <w:tblGrid>
        <w:gridCol w:w="4786"/>
        <w:gridCol w:w="346"/>
        <w:gridCol w:w="211"/>
        <w:gridCol w:w="586"/>
        <w:gridCol w:w="346"/>
        <w:gridCol w:w="211"/>
        <w:gridCol w:w="586"/>
        <w:gridCol w:w="346"/>
        <w:gridCol w:w="751"/>
        <w:gridCol w:w="316"/>
      </w:tblGrid>
      <w:tr>
        <w:trPr/>
        <w:tc>
          <w:tcPr>
            <w:tcW w:w="47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0">
                      <wp:simplePos x="0" y="0"/>
                      <wp:positionH relativeFrom="character">
                        <wp:align>left</wp:align>
                      </wp:positionH>
                      <wp:positionV relativeFrom="line">
                        <wp:posOffset>635</wp:posOffset>
                      </wp:positionV>
                      <wp:extent cx="3039110" cy="175260"/>
                      <wp:effectExtent l="0" t="0" r="0" b="0"/>
                      <wp:wrapNone/>
                      <wp:docPr id="209" name="Frame209"/>
                      <a:graphic xmlns:a="http://schemas.openxmlformats.org/drawingml/2006/main">
                        <a:graphicData uri="http://schemas.microsoft.com/office/word/2010/wordprocessingShape">
                          <wps:wsp>
                            <wps:cNvSpPr txBox="1"/>
                            <wps:spPr>
                              <a:xfrm>
                                <a:off x="0" y="0"/>
                                <a:ext cx="30391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39.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1">
                      <wp:simplePos x="0" y="0"/>
                      <wp:positionH relativeFrom="character">
                        <wp:align>left</wp:align>
                      </wp:positionH>
                      <wp:positionV relativeFrom="line">
                        <wp:posOffset>635</wp:posOffset>
                      </wp:positionV>
                      <wp:extent cx="219710" cy="175260"/>
                      <wp:effectExtent l="0" t="0" r="0" b="0"/>
                      <wp:wrapNone/>
                      <wp:docPr id="210" name="Frame210"/>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2">
                      <wp:simplePos x="0" y="0"/>
                      <wp:positionH relativeFrom="character">
                        <wp:align>left</wp:align>
                      </wp:positionH>
                      <wp:positionV relativeFrom="line">
                        <wp:posOffset>635</wp:posOffset>
                      </wp:positionV>
                      <wp:extent cx="133985" cy="175260"/>
                      <wp:effectExtent l="0" t="0" r="0" b="0"/>
                      <wp:wrapNone/>
                      <wp:docPr id="211" name="Frame211"/>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5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3">
                      <wp:simplePos x="0" y="0"/>
                      <wp:positionH relativeFrom="character">
                        <wp:align>left</wp:align>
                      </wp:positionH>
                      <wp:positionV relativeFrom="line">
                        <wp:posOffset>635</wp:posOffset>
                      </wp:positionV>
                      <wp:extent cx="372110" cy="175260"/>
                      <wp:effectExtent l="0" t="0" r="0" b="0"/>
                      <wp:wrapNone/>
                      <wp:docPr id="212" name="Frame212"/>
                      <a:graphic xmlns:a="http://schemas.openxmlformats.org/drawingml/2006/main">
                        <a:graphicData uri="http://schemas.microsoft.com/office/word/2010/wordprocessingShape">
                          <wps:wsp>
                            <wps:cNvSpPr txBox="1"/>
                            <wps:spPr>
                              <a:xfrm>
                                <a:off x="0" y="0"/>
                                <a:ext cx="3721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9.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4">
                      <wp:simplePos x="0" y="0"/>
                      <wp:positionH relativeFrom="character">
                        <wp:align>left</wp:align>
                      </wp:positionH>
                      <wp:positionV relativeFrom="line">
                        <wp:posOffset>635</wp:posOffset>
                      </wp:positionV>
                      <wp:extent cx="219710" cy="175260"/>
                      <wp:effectExtent l="0" t="0" r="0" b="0"/>
                      <wp:wrapNone/>
                      <wp:docPr id="213" name="Frame213"/>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5">
                      <wp:simplePos x="0" y="0"/>
                      <wp:positionH relativeFrom="character">
                        <wp:align>left</wp:align>
                      </wp:positionH>
                      <wp:positionV relativeFrom="line">
                        <wp:posOffset>635</wp:posOffset>
                      </wp:positionV>
                      <wp:extent cx="133985" cy="175260"/>
                      <wp:effectExtent l="0" t="0" r="0" b="0"/>
                      <wp:wrapNone/>
                      <wp:docPr id="214" name="Frame214"/>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5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6">
                      <wp:simplePos x="0" y="0"/>
                      <wp:positionH relativeFrom="character">
                        <wp:align>left</wp:align>
                      </wp:positionH>
                      <wp:positionV relativeFrom="line">
                        <wp:posOffset>635</wp:posOffset>
                      </wp:positionV>
                      <wp:extent cx="372110" cy="175260"/>
                      <wp:effectExtent l="0" t="0" r="0" b="0"/>
                      <wp:wrapNone/>
                      <wp:docPr id="215" name="Frame215"/>
                      <a:graphic xmlns:a="http://schemas.openxmlformats.org/drawingml/2006/main">
                        <a:graphicData uri="http://schemas.microsoft.com/office/word/2010/wordprocessingShape">
                          <wps:wsp>
                            <wps:cNvSpPr txBox="1"/>
                            <wps:spPr>
                              <a:xfrm>
                                <a:off x="0" y="0"/>
                                <a:ext cx="3721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9.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7">
                      <wp:simplePos x="0" y="0"/>
                      <wp:positionH relativeFrom="character">
                        <wp:align>left</wp:align>
                      </wp:positionH>
                      <wp:positionV relativeFrom="line">
                        <wp:posOffset>635</wp:posOffset>
                      </wp:positionV>
                      <wp:extent cx="219710" cy="175260"/>
                      <wp:effectExtent l="0" t="0" r="0" b="0"/>
                      <wp:wrapNone/>
                      <wp:docPr id="216" name="Frame216"/>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5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8">
                      <wp:simplePos x="0" y="0"/>
                      <wp:positionH relativeFrom="character">
                        <wp:align>left</wp:align>
                      </wp:positionH>
                      <wp:positionV relativeFrom="line">
                        <wp:posOffset>635</wp:posOffset>
                      </wp:positionV>
                      <wp:extent cx="476885" cy="175260"/>
                      <wp:effectExtent l="0" t="0" r="0" b="0"/>
                      <wp:wrapNone/>
                      <wp:docPr id="217" name="Frame217"/>
                      <a:graphic xmlns:a="http://schemas.openxmlformats.org/drawingml/2006/main">
                        <a:graphicData uri="http://schemas.microsoft.com/office/word/2010/wordprocessingShape">
                          <wps:wsp>
                            <wps:cNvSpPr txBox="1"/>
                            <wps:spPr>
                              <a:xfrm>
                                <a:off x="0" y="0"/>
                                <a:ext cx="4768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7.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9">
                      <wp:simplePos x="0" y="0"/>
                      <wp:positionH relativeFrom="character">
                        <wp:align>left</wp:align>
                      </wp:positionH>
                      <wp:positionV relativeFrom="line">
                        <wp:posOffset>635</wp:posOffset>
                      </wp:positionV>
                      <wp:extent cx="200660" cy="175260"/>
                      <wp:effectExtent l="0" t="0" r="0" b="0"/>
                      <wp:wrapNone/>
                      <wp:docPr id="218" name="Frame218"/>
                      <a:graphic xmlns:a="http://schemas.openxmlformats.org/drawingml/2006/main">
                        <a:graphicData uri="http://schemas.microsoft.com/office/word/2010/wordprocessingShape">
                          <wps:wsp>
                            <wps:cNvSpPr txBox="1"/>
                            <wps:spPr>
                              <a:xfrm>
                                <a:off x="0" y="0"/>
                                <a:ext cx="2006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478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1940"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Three months ended</w:t>
              <w:br/>
              <w:t>March 31,</w:t>
            </w:r>
          </w:p>
        </w:tc>
        <w:tc>
          <w:tcPr>
            <w:tcW w:w="346" w:type="dxa"/>
            <w:tcBorders/>
            <w:vAlign w:val="center"/>
          </w:tcPr>
          <w:p>
            <w:pPr>
              <w:pStyle w:val="TableContents"/>
              <w:bidi w:val="0"/>
              <w:spacing w:before="0" w:after="1"/>
              <w:ind w:left="0" w:right="0" w:hanging="0"/>
              <w:jc w:val="left"/>
              <w:rPr/>
            </w:pPr>
            <w:r>
              <w:rPr/>
              <w:t>​</w:t>
            </w:r>
          </w:p>
        </w:tc>
        <w:tc>
          <w:tcPr>
            <w:tcW w:w="751" w:type="dxa"/>
            <w:tcBorders/>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w:t>
            </w:r>
          </w:p>
        </w:tc>
        <w:tc>
          <w:tcPr>
            <w:tcW w:w="316" w:type="dxa"/>
            <w:tcBorders/>
            <w:vAlign w:val="center"/>
          </w:tcPr>
          <w:p>
            <w:pPr>
              <w:pStyle w:val="TableContents"/>
              <w:bidi w:val="0"/>
              <w:spacing w:before="0" w:after="1"/>
              <w:ind w:left="0" w:right="0" w:hanging="0"/>
              <w:jc w:val="center"/>
              <w:rPr/>
            </w:pPr>
            <w:r>
              <w:rPr/>
              <w:t>​</w:t>
            </w:r>
          </w:p>
        </w:tc>
      </w:tr>
      <w:tr>
        <w:trPr/>
        <w:tc>
          <w:tcPr>
            <w:tcW w:w="478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  ​ ​ ​</w:t>
            </w:r>
          </w:p>
        </w:tc>
        <w:tc>
          <w:tcPr>
            <w:tcW w:w="79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2025</w:t>
            </w:r>
          </w:p>
        </w:tc>
        <w:tc>
          <w:tcPr>
            <w:tcW w:w="346" w:type="dxa"/>
            <w:tcBorders>
              <w:bottom w:val="single" w:sz="2" w:space="0" w:color="000000"/>
            </w:tcBorders>
            <w:tcMar>
              <w:bottom w:w="28" w:type="dxa"/>
            </w:tcMar>
            <w:vAlign w:val="center"/>
          </w:tcPr>
          <w:p>
            <w:pPr>
              <w:pStyle w:val="TableContents"/>
              <w:bidi w:val="0"/>
              <w:spacing w:before="0" w:after="1"/>
              <w:ind w:left="0" w:right="0" w:hanging="0"/>
              <w:jc w:val="center"/>
              <w:rPr/>
            </w:pPr>
            <w:r>
              <w:rPr/>
              <w:t>  ​ ​ ​</w:t>
            </w:r>
          </w:p>
        </w:tc>
        <w:tc>
          <w:tcPr>
            <w:tcW w:w="79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2026</w:t>
            </w:r>
          </w:p>
        </w:tc>
        <w:tc>
          <w:tcPr>
            <w:tcW w:w="346" w:type="dxa"/>
            <w:tcBorders/>
            <w:vAlign w:val="center"/>
          </w:tcPr>
          <w:p>
            <w:pPr>
              <w:pStyle w:val="TableContents"/>
              <w:bidi w:val="0"/>
              <w:spacing w:before="0" w:after="1"/>
              <w:ind w:left="0" w:right="0" w:hanging="0"/>
              <w:jc w:val="center"/>
              <w:rPr/>
            </w:pPr>
            <w:r>
              <w:rPr/>
              <w:t>  ​ ​ ​</w:t>
            </w:r>
          </w:p>
        </w:tc>
        <w:tc>
          <w:tcPr>
            <w:tcW w:w="751"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Change</w:t>
            </w:r>
          </w:p>
        </w:tc>
        <w:tc>
          <w:tcPr>
            <w:tcW w:w="316" w:type="dxa"/>
            <w:tcBorders/>
            <w:vAlign w:val="center"/>
          </w:tcPr>
          <w:p>
            <w:pPr>
              <w:pStyle w:val="TableContents"/>
              <w:bidi w:val="0"/>
              <w:spacing w:before="0" w:after="1"/>
              <w:ind w:left="0" w:right="0" w:hanging="0"/>
              <w:jc w:val="center"/>
              <w:rPr/>
            </w:pPr>
            <w:r>
              <w:rPr/>
              <w:t>​</w:t>
            </w:r>
          </w:p>
        </w:tc>
      </w:tr>
      <w:tr>
        <w:trPr/>
        <w:tc>
          <w:tcPr>
            <w:tcW w:w="478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1940" w:type="dxa"/>
            <w:gridSpan w:val="5"/>
            <w:tcBorders/>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(In millions)</w:t>
            </w:r>
          </w:p>
        </w:tc>
        <w:tc>
          <w:tcPr>
            <w:tcW w:w="346" w:type="dxa"/>
            <w:tcBorders/>
            <w:vAlign w:val="center"/>
          </w:tcPr>
          <w:p>
            <w:pPr>
              <w:pStyle w:val="TableContents"/>
              <w:bidi w:val="0"/>
              <w:spacing w:before="0" w:after="1"/>
              <w:ind w:left="0" w:right="0" w:hanging="0"/>
              <w:jc w:val="left"/>
              <w:rPr/>
            </w:pPr>
            <w:r>
              <w:rPr/>
              <w:t>​</w:t>
            </w:r>
          </w:p>
        </w:tc>
        <w:tc>
          <w:tcPr>
            <w:tcW w:w="751" w:type="dxa"/>
            <w:tcBorders/>
            <w:vAlign w:val="center"/>
          </w:tcPr>
          <w:p>
            <w:pPr>
              <w:pStyle w:val="TableContents"/>
              <w:bidi w:val="0"/>
              <w:spacing w:before="0" w:after="1"/>
              <w:ind w:left="0" w:right="0" w:hanging="0"/>
              <w:jc w:val="center"/>
              <w:rPr/>
            </w:pPr>
            <w:r>
              <w:rPr/>
              <w:t>  ​</w:t>
            </w:r>
          </w:p>
        </w:tc>
        <w:tc>
          <w:tcPr>
            <w:tcW w:w="316" w:type="dxa"/>
            <w:tcBorders/>
            <w:vAlign w:val="center"/>
          </w:tcPr>
          <w:p>
            <w:pPr>
              <w:pStyle w:val="TableContents"/>
              <w:bidi w:val="0"/>
              <w:spacing w:before="0" w:after="1"/>
              <w:ind w:left="0" w:right="0" w:hanging="0"/>
              <w:jc w:val="left"/>
              <w:rPr/>
            </w:pPr>
            <w:r>
              <w:rPr/>
              <w:t>​</w:t>
            </w:r>
          </w:p>
        </w:tc>
      </w:tr>
      <w:tr>
        <w:trPr/>
        <w:tc>
          <w:tcPr>
            <w:tcW w:w="478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Net sales</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58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489.8</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w:t>
            </w:r>
          </w:p>
        </w:tc>
        <w:tc>
          <w:tcPr>
            <w:tcW w:w="586" w:type="dxa"/>
            <w:tcBorders/>
            <w:shd w:fill="CCEEFF" w:val="cle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509.8</w:t>
            </w:r>
          </w:p>
        </w:tc>
        <w:tc>
          <w:tcPr>
            <w:tcW w:w="346" w:type="dxa"/>
            <w:tcBorders/>
            <w:shd w:fill="CCEEFF" w:val="clear"/>
            <w:vAlign w:val="center"/>
          </w:tcPr>
          <w:p>
            <w:pPr>
              <w:pStyle w:val="TableContents"/>
              <w:bidi w:val="0"/>
              <w:spacing w:before="0" w:after="1"/>
              <w:ind w:left="0" w:right="0" w:hanging="0"/>
              <w:jc w:val="left"/>
              <w:rPr/>
            </w:pPr>
            <w:r>
              <w:rPr/>
              <w:t> </w:t>
            </w:r>
          </w:p>
        </w:tc>
        <w:tc>
          <w:tcPr>
            <w:tcW w:w="75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w:t>
            </w:r>
          </w:p>
        </w:tc>
        <w:tc>
          <w:tcPr>
            <w:tcW w:w="31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478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Cost of sales</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58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383.0</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58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426.5</w:t>
            </w:r>
          </w:p>
        </w:tc>
        <w:tc>
          <w:tcPr>
            <w:tcW w:w="346" w:type="dxa"/>
            <w:tcBorders/>
            <w:vAlign w:val="center"/>
          </w:tcPr>
          <w:p>
            <w:pPr>
              <w:pStyle w:val="TableContents"/>
              <w:bidi w:val="0"/>
              <w:spacing w:before="0" w:after="1"/>
              <w:ind w:left="0" w:right="0" w:hanging="0"/>
              <w:jc w:val="left"/>
              <w:rPr/>
            </w:pPr>
            <w:r>
              <w:rPr/>
              <w:t> </w:t>
            </w:r>
          </w:p>
        </w:tc>
        <w:tc>
          <w:tcPr>
            <w:tcW w:w="75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w:t>
            </w:r>
          </w:p>
        </w:tc>
        <w:tc>
          <w:tcPr>
            <w:tcW w:w="316" w:type="dxa"/>
            <w:tcBorders/>
            <w:vAlign w:val="center"/>
          </w:tcPr>
          <w:p>
            <w:pPr>
              <w:pStyle w:val="TableContents"/>
              <w:bidi w:val="0"/>
              <w:spacing w:before="0" w:after="1"/>
              <w:ind w:left="0" w:right="0" w:hanging="0"/>
              <w:jc w:val="left"/>
              <w:rPr/>
            </w:pPr>
            <w:r>
              <w:rPr/>
              <w:t>​</w:t>
            </w:r>
          </w:p>
        </w:tc>
      </w:tr>
      <w:tr>
        <w:trPr/>
        <w:tc>
          <w:tcPr>
            <w:tcW w:w="478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Gross margin</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58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106.8</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w:t>
            </w:r>
          </w:p>
        </w:tc>
        <w:tc>
          <w:tcPr>
            <w:tcW w:w="58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83.3</w:t>
            </w:r>
          </w:p>
        </w:tc>
        <w:tc>
          <w:tcPr>
            <w:tcW w:w="346" w:type="dxa"/>
            <w:tcBorders/>
            <w:shd w:fill="CCEEFF" w:val="clear"/>
            <w:vAlign w:val="center"/>
          </w:tcPr>
          <w:p>
            <w:pPr>
              <w:pStyle w:val="TableContents"/>
              <w:bidi w:val="0"/>
              <w:spacing w:before="0" w:after="1"/>
              <w:ind w:left="0" w:right="0" w:hanging="0"/>
              <w:jc w:val="left"/>
              <w:rPr/>
            </w:pPr>
            <w:r>
              <w:rPr/>
              <w:t> </w:t>
            </w:r>
          </w:p>
        </w:tc>
        <w:tc>
          <w:tcPr>
            <w:tcW w:w="75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(22)</w:t>
            </w:r>
          </w:p>
        </w:tc>
        <w:tc>
          <w:tcPr>
            <w:tcW w:w="316" w:type="dxa"/>
            <w:tcBorders/>
            <w:shd w:fill="CCEEFF" w:val="clear"/>
            <w:vAlign w:val="center"/>
          </w:tcPr>
          <w:p>
            <w:pPr>
              <w:pStyle w:val="TableContents"/>
              <w:bidi w:val="0"/>
              <w:spacing w:before="0" w:after="1"/>
              <w:ind w:left="0" w:right="0" w:hanging="0"/>
              <w:jc w:val="left"/>
              <w:rPr/>
            </w:pPr>
            <w:r>
              <w:rPr/>
              <w:t>​</w:t>
            </w:r>
          </w:p>
        </w:tc>
      </w:tr>
      <w:tr>
        <w:trPr/>
        <w:tc>
          <w:tcPr>
            <w:tcW w:w="478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586"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586"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751" w:type="dxa"/>
            <w:tcBorders/>
            <w:vAlign w:val="center"/>
          </w:tcPr>
          <w:p>
            <w:pPr>
              <w:pStyle w:val="TableContents"/>
              <w:bidi w:val="0"/>
              <w:spacing w:before="0" w:after="1"/>
              <w:ind w:left="0" w:right="0" w:hanging="0"/>
              <w:jc w:val="right"/>
              <w:rPr/>
            </w:pPr>
            <w:r>
              <w:rPr/>
              <w:t>​</w:t>
            </w:r>
          </w:p>
        </w:tc>
        <w:tc>
          <w:tcPr>
            <w:tcW w:w="316" w:type="dxa"/>
            <w:tcBorders/>
            <w:vAlign w:val="center"/>
          </w:tcPr>
          <w:p>
            <w:pPr>
              <w:pStyle w:val="TableContents"/>
              <w:bidi w:val="0"/>
              <w:spacing w:before="0" w:after="1"/>
              <w:ind w:left="0" w:right="0" w:hanging="0"/>
              <w:jc w:val="left"/>
              <w:rPr/>
            </w:pPr>
            <w:r>
              <w:rPr/>
              <w:t>​</w:t>
            </w:r>
          </w:p>
        </w:tc>
      </w:tr>
      <w:tr>
        <w:trPr/>
        <w:tc>
          <w:tcPr>
            <w:tcW w:w="478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Income from operations</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58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38.4</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w:t>
            </w:r>
          </w:p>
        </w:tc>
        <w:tc>
          <w:tcPr>
            <w:tcW w:w="586" w:type="dxa"/>
            <w:tcBorders/>
            <w:shd w:fill="CCEEFF" w:val="cle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12.6</w:t>
            </w:r>
          </w:p>
        </w:tc>
        <w:tc>
          <w:tcPr>
            <w:tcW w:w="346" w:type="dxa"/>
            <w:tcBorders/>
            <w:shd w:fill="CCEEFF" w:val="clear"/>
            <w:vAlign w:val="center"/>
          </w:tcPr>
          <w:p>
            <w:pPr>
              <w:pStyle w:val="TableContents"/>
              <w:bidi w:val="0"/>
              <w:spacing w:before="0" w:after="1"/>
              <w:ind w:left="0" w:right="0" w:hanging="0"/>
              <w:jc w:val="left"/>
              <w:rPr/>
            </w:pPr>
            <w:r>
              <w:rPr/>
              <w:t>​</w:t>
            </w:r>
          </w:p>
        </w:tc>
        <w:tc>
          <w:tcPr>
            <w:tcW w:w="75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(67)</w:t>
            </w:r>
          </w:p>
        </w:tc>
        <w:tc>
          <w:tcPr>
            <w:tcW w:w="31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478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Interest and dividend income</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58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586" w:type="dxa"/>
            <w:tcBorders/>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.2</w:t>
            </w:r>
          </w:p>
        </w:tc>
        <w:tc>
          <w:tcPr>
            <w:tcW w:w="346" w:type="dxa"/>
            <w:tcBorders/>
            <w:vAlign w:val="center"/>
          </w:tcPr>
          <w:p>
            <w:pPr>
              <w:pStyle w:val="TableContents"/>
              <w:bidi w:val="0"/>
              <w:spacing w:before="0" w:after="1"/>
              <w:ind w:left="0" w:right="0" w:hanging="0"/>
              <w:jc w:val="left"/>
              <w:rPr/>
            </w:pPr>
            <w:r>
              <w:rPr/>
              <w:t>​</w:t>
            </w:r>
          </w:p>
        </w:tc>
        <w:tc>
          <w:tcPr>
            <w:tcW w:w="751" w:type="dxa"/>
            <w:tcBorders/>
            <w:vAlign w:val="center"/>
          </w:tcPr>
          <w:p>
            <w:pPr>
              <w:pStyle w:val="TableContents"/>
              <w:bidi w:val="0"/>
              <w:spacing w:before="0" w:after="1"/>
              <w:ind w:left="0" w:right="0" w:hanging="0"/>
              <w:jc w:val="right"/>
              <w:rPr/>
            </w:pPr>
            <w:r>
              <w:rPr/>
              <w:t>​</w:t>
            </w:r>
          </w:p>
        </w:tc>
        <w:tc>
          <w:tcPr>
            <w:tcW w:w="316" w:type="dxa"/>
            <w:tcBorders/>
            <w:vAlign w:val="center"/>
          </w:tcPr>
          <w:p>
            <w:pPr>
              <w:pStyle w:val="TableContents"/>
              <w:bidi w:val="0"/>
              <w:spacing w:before="0" w:after="1"/>
              <w:ind w:left="0" w:right="0" w:hanging="0"/>
              <w:jc w:val="left"/>
              <w:rPr/>
            </w:pPr>
            <w:r>
              <w:rPr/>
              <w:t>​</w:t>
            </w:r>
          </w:p>
        </w:tc>
      </w:tr>
      <w:tr>
        <w:trPr/>
        <w:tc>
          <w:tcPr>
            <w:tcW w:w="478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Marketable equity securities unrealized gain (loss)</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58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586" w:type="dxa"/>
            <w:tcBorders/>
            <w:shd w:fill="CCEEFF" w:val="cle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.3</w:t>
            </w:r>
          </w:p>
        </w:tc>
        <w:tc>
          <w:tcPr>
            <w:tcW w:w="346" w:type="dxa"/>
            <w:tcBorders/>
            <w:shd w:fill="CCEEFF" w:val="clear"/>
            <w:vAlign w:val="center"/>
          </w:tcPr>
          <w:p>
            <w:pPr>
              <w:pStyle w:val="TableContents"/>
              <w:bidi w:val="0"/>
              <w:spacing w:before="0" w:after="1"/>
              <w:ind w:left="0" w:right="0" w:hanging="0"/>
              <w:jc w:val="left"/>
              <w:rPr/>
            </w:pPr>
            <w:r>
              <w:rPr/>
              <w:t> </w:t>
            </w:r>
          </w:p>
        </w:tc>
        <w:tc>
          <w:tcPr>
            <w:tcW w:w="751" w:type="dxa"/>
            <w:tcBorders/>
            <w:shd w:fill="CCEEFF" w:val="clear"/>
            <w:vAlign w:val="center"/>
          </w:tcPr>
          <w:p>
            <w:pPr>
              <w:pStyle w:val="TableContents"/>
              <w:bidi w:val="0"/>
              <w:spacing w:before="0" w:after="1"/>
              <w:ind w:left="0" w:right="0" w:hanging="0"/>
              <w:jc w:val="right"/>
              <w:rPr/>
            </w:pPr>
            <w:r>
              <w:rPr/>
              <w:t>​</w:t>
            </w:r>
          </w:p>
        </w:tc>
        <w:tc>
          <w:tcPr>
            <w:tcW w:w="316" w:type="dxa"/>
            <w:tcBorders/>
            <w:shd w:fill="CCEEFF" w:val="clear"/>
            <w:vAlign w:val="center"/>
          </w:tcPr>
          <w:p>
            <w:pPr>
              <w:pStyle w:val="TableContents"/>
              <w:bidi w:val="0"/>
              <w:spacing w:before="0" w:after="1"/>
              <w:ind w:left="0" w:right="0" w:hanging="0"/>
              <w:jc w:val="left"/>
              <w:rPr/>
            </w:pPr>
            <w:r>
              <w:rPr/>
              <w:t>​</w:t>
            </w:r>
          </w:p>
        </w:tc>
      </w:tr>
      <w:tr>
        <w:trPr/>
        <w:tc>
          <w:tcPr>
            <w:tcW w:w="478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Other components of net periodic pension and OPEB cost</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58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586" w:type="dxa"/>
            <w:tcBorders/>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(.8)</w:t>
            </w:r>
          </w:p>
        </w:tc>
        <w:tc>
          <w:tcPr>
            <w:tcW w:w="346" w:type="dxa"/>
            <w:tcBorders/>
            <w:vAlign w:val="center"/>
          </w:tcPr>
          <w:p>
            <w:pPr>
              <w:pStyle w:val="TableContents"/>
              <w:bidi w:val="0"/>
              <w:spacing w:before="0" w:after="1"/>
              <w:ind w:left="0" w:right="0" w:hanging="0"/>
              <w:jc w:val="left"/>
              <w:rPr/>
            </w:pPr>
            <w:r>
              <w:rPr/>
              <w:t>​</w:t>
            </w:r>
          </w:p>
        </w:tc>
        <w:tc>
          <w:tcPr>
            <w:tcW w:w="751" w:type="dxa"/>
            <w:tcBorders/>
            <w:vAlign w:val="center"/>
          </w:tcPr>
          <w:p>
            <w:pPr>
              <w:pStyle w:val="TableContents"/>
              <w:bidi w:val="0"/>
              <w:spacing w:before="0" w:after="1"/>
              <w:ind w:left="0" w:right="0" w:hanging="0"/>
              <w:jc w:val="right"/>
              <w:rPr/>
            </w:pPr>
            <w:r>
              <w:rPr/>
              <w:t>​</w:t>
            </w:r>
          </w:p>
        </w:tc>
        <w:tc>
          <w:tcPr>
            <w:tcW w:w="316" w:type="dxa"/>
            <w:tcBorders/>
            <w:vAlign w:val="center"/>
          </w:tcPr>
          <w:p>
            <w:pPr>
              <w:pStyle w:val="TableContents"/>
              <w:bidi w:val="0"/>
              <w:spacing w:before="0" w:after="1"/>
              <w:ind w:left="0" w:right="0" w:hanging="0"/>
              <w:jc w:val="left"/>
              <w:rPr/>
            </w:pPr>
            <w:r>
              <w:rPr/>
              <w:t>​</w:t>
            </w:r>
          </w:p>
        </w:tc>
      </w:tr>
      <w:tr>
        <w:trPr/>
        <w:tc>
          <w:tcPr>
            <w:tcW w:w="478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Interest expense</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58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(11.6)</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58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(14.3)</w:t>
            </w:r>
          </w:p>
        </w:tc>
        <w:tc>
          <w:tcPr>
            <w:tcW w:w="346" w:type="dxa"/>
            <w:tcBorders/>
            <w:shd w:fill="CCEEFF" w:val="clear"/>
            <w:vAlign w:val="center"/>
          </w:tcPr>
          <w:p>
            <w:pPr>
              <w:pStyle w:val="TableContents"/>
              <w:bidi w:val="0"/>
              <w:spacing w:before="0" w:after="1"/>
              <w:ind w:left="0" w:right="0" w:hanging="0"/>
              <w:jc w:val="left"/>
              <w:rPr/>
            </w:pPr>
            <w:r>
              <w:rPr/>
              <w:t>​</w:t>
            </w:r>
          </w:p>
        </w:tc>
        <w:tc>
          <w:tcPr>
            <w:tcW w:w="751" w:type="dxa"/>
            <w:tcBorders/>
            <w:shd w:fill="CCEEFF" w:val="clear"/>
            <w:vAlign w:val="center"/>
          </w:tcPr>
          <w:p>
            <w:pPr>
              <w:pStyle w:val="TableContents"/>
              <w:bidi w:val="0"/>
              <w:spacing w:before="0" w:after="1"/>
              <w:ind w:left="0" w:right="0" w:hanging="0"/>
              <w:jc w:val="right"/>
              <w:rPr/>
            </w:pPr>
            <w:r>
              <w:rPr/>
              <w:t>​</w:t>
            </w:r>
          </w:p>
        </w:tc>
        <w:tc>
          <w:tcPr>
            <w:tcW w:w="316" w:type="dxa"/>
            <w:tcBorders/>
            <w:shd w:fill="CCEEFF" w:val="clear"/>
            <w:vAlign w:val="center"/>
          </w:tcPr>
          <w:p>
            <w:pPr>
              <w:pStyle w:val="TableContents"/>
              <w:bidi w:val="0"/>
              <w:spacing w:before="0" w:after="1"/>
              <w:ind w:left="0" w:right="0" w:hanging="0"/>
              <w:jc w:val="left"/>
              <w:rPr/>
            </w:pPr>
            <w:r>
              <w:rPr/>
              <w:t>​</w:t>
            </w:r>
          </w:p>
        </w:tc>
      </w:tr>
      <w:tr>
        <w:trPr/>
        <w:tc>
          <w:tcPr>
            <w:tcW w:w="478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Income (loss) before income taxes</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58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25.7</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586" w:type="dxa"/>
            <w:tcBorders/>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(2.0)</w:t>
            </w:r>
          </w:p>
        </w:tc>
        <w:tc>
          <w:tcPr>
            <w:tcW w:w="346" w:type="dxa"/>
            <w:tcBorders/>
            <w:vAlign w:val="center"/>
          </w:tcPr>
          <w:p>
            <w:pPr>
              <w:pStyle w:val="TableContents"/>
              <w:bidi w:val="0"/>
              <w:spacing w:before="0" w:after="1"/>
              <w:ind w:left="0" w:right="0" w:hanging="0"/>
              <w:jc w:val="left"/>
              <w:rPr/>
            </w:pPr>
            <w:r>
              <w:rPr/>
              <w:t>​</w:t>
            </w:r>
          </w:p>
        </w:tc>
        <w:tc>
          <w:tcPr>
            <w:tcW w:w="751" w:type="dxa"/>
            <w:tcBorders/>
            <w:vAlign w:val="center"/>
          </w:tcPr>
          <w:p>
            <w:pPr>
              <w:pStyle w:val="TableContents"/>
              <w:bidi w:val="0"/>
              <w:spacing w:before="0" w:after="1"/>
              <w:ind w:left="0" w:right="0" w:hanging="0"/>
              <w:jc w:val="right"/>
              <w:rPr/>
            </w:pPr>
            <w:r>
              <w:rPr/>
              <w:t>​</w:t>
            </w:r>
          </w:p>
        </w:tc>
        <w:tc>
          <w:tcPr>
            <w:tcW w:w="316" w:type="dxa"/>
            <w:tcBorders/>
            <w:vAlign w:val="center"/>
          </w:tcPr>
          <w:p>
            <w:pPr>
              <w:pStyle w:val="TableContents"/>
              <w:bidi w:val="0"/>
              <w:spacing w:before="0" w:after="1"/>
              <w:ind w:left="0" w:right="0" w:hanging="0"/>
              <w:jc w:val="left"/>
              <w:rPr/>
            </w:pPr>
            <w:r>
              <w:rPr/>
              <w:t>​</w:t>
            </w:r>
          </w:p>
        </w:tc>
      </w:tr>
      <w:tr>
        <w:trPr/>
        <w:tc>
          <w:tcPr>
            <w:tcW w:w="478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Income tax expense</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58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7.6</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58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2.8</w:t>
            </w:r>
          </w:p>
        </w:tc>
        <w:tc>
          <w:tcPr>
            <w:tcW w:w="346" w:type="dxa"/>
            <w:tcBorders/>
            <w:shd w:fill="CCEEFF" w:val="clear"/>
            <w:vAlign w:val="center"/>
          </w:tcPr>
          <w:p>
            <w:pPr>
              <w:pStyle w:val="TableContents"/>
              <w:bidi w:val="0"/>
              <w:spacing w:before="0" w:after="1"/>
              <w:ind w:left="0" w:right="0" w:hanging="0"/>
              <w:jc w:val="left"/>
              <w:rPr/>
            </w:pPr>
            <w:r>
              <w:rPr/>
              <w:t>​</w:t>
            </w:r>
          </w:p>
        </w:tc>
        <w:tc>
          <w:tcPr>
            <w:tcW w:w="751" w:type="dxa"/>
            <w:tcBorders/>
            <w:shd w:fill="CCEEFF" w:val="clear"/>
            <w:vAlign w:val="center"/>
          </w:tcPr>
          <w:p>
            <w:pPr>
              <w:pStyle w:val="TableContents"/>
              <w:bidi w:val="0"/>
              <w:spacing w:before="0" w:after="1"/>
              <w:ind w:left="0" w:right="0" w:hanging="0"/>
              <w:jc w:val="right"/>
              <w:rPr/>
            </w:pPr>
            <w:r>
              <w:rPr/>
              <w:t>​</w:t>
            </w:r>
          </w:p>
        </w:tc>
        <w:tc>
          <w:tcPr>
            <w:tcW w:w="316" w:type="dxa"/>
            <w:tcBorders/>
            <w:shd w:fill="CCEEFF" w:val="clear"/>
            <w:vAlign w:val="center"/>
          </w:tcPr>
          <w:p>
            <w:pPr>
              <w:pStyle w:val="TableContents"/>
              <w:bidi w:val="0"/>
              <w:spacing w:before="0" w:after="1"/>
              <w:ind w:left="0" w:right="0" w:hanging="0"/>
              <w:jc w:val="left"/>
              <w:rPr/>
            </w:pPr>
            <w:r>
              <w:rPr/>
              <w:t>​</w:t>
            </w:r>
          </w:p>
        </w:tc>
      </w:tr>
      <w:tr>
        <w:trPr/>
        <w:tc>
          <w:tcPr>
            <w:tcW w:w="478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Net (loss) income</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58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18.1</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586" w:type="dxa"/>
            <w:tcBorders/>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(4.8)</w:t>
            </w:r>
          </w:p>
        </w:tc>
        <w:tc>
          <w:tcPr>
            <w:tcW w:w="346" w:type="dxa"/>
            <w:tcBorders/>
            <w:vAlign w:val="center"/>
          </w:tcPr>
          <w:p>
            <w:pPr>
              <w:pStyle w:val="TableContents"/>
              <w:bidi w:val="0"/>
              <w:spacing w:before="0" w:after="1"/>
              <w:ind w:left="0" w:right="0" w:hanging="0"/>
              <w:jc w:val="left"/>
              <w:rPr/>
            </w:pPr>
            <w:r>
              <w:rPr/>
              <w:t>​</w:t>
            </w:r>
          </w:p>
        </w:tc>
        <w:tc>
          <w:tcPr>
            <w:tcW w:w="751" w:type="dxa"/>
            <w:tcBorders/>
            <w:vAlign w:val="center"/>
          </w:tcPr>
          <w:p>
            <w:pPr>
              <w:pStyle w:val="TableContents"/>
              <w:bidi w:val="0"/>
              <w:spacing w:before="0" w:after="1"/>
              <w:ind w:left="0" w:right="0" w:hanging="0"/>
              <w:jc w:val="right"/>
              <w:rPr/>
            </w:pPr>
            <w:r>
              <w:rPr/>
              <w:t>​</w:t>
            </w:r>
          </w:p>
        </w:tc>
        <w:tc>
          <w:tcPr>
            <w:tcW w:w="316" w:type="dxa"/>
            <w:tcBorders/>
            <w:vAlign w:val="center"/>
          </w:tcPr>
          <w:p>
            <w:pPr>
              <w:pStyle w:val="TableContents"/>
              <w:bidi w:val="0"/>
              <w:spacing w:before="0" w:after="1"/>
              <w:ind w:left="0" w:right="0" w:hanging="0"/>
              <w:jc w:val="left"/>
              <w:rPr/>
            </w:pPr>
            <w:r>
              <w:rPr/>
              <w:t>​</w:t>
            </w:r>
          </w:p>
        </w:tc>
      </w:tr>
      <w:tr>
        <w:trPr/>
        <w:tc>
          <w:tcPr>
            <w:tcW w:w="4786"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586"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586"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751" w:type="dxa"/>
            <w:tcBorders/>
            <w:shd w:fill="CCEEFF" w:val="clear"/>
            <w:vAlign w:val="center"/>
          </w:tcPr>
          <w:p>
            <w:pPr>
              <w:pStyle w:val="TableContents"/>
              <w:bidi w:val="0"/>
              <w:spacing w:before="0" w:after="1"/>
              <w:ind w:left="0" w:right="0" w:hanging="0"/>
              <w:jc w:val="right"/>
              <w:rPr/>
            </w:pPr>
            <w:r>
              <w:rPr/>
              <w:t>​</w:t>
            </w:r>
          </w:p>
        </w:tc>
        <w:tc>
          <w:tcPr>
            <w:tcW w:w="316" w:type="dxa"/>
            <w:tcBorders/>
            <w:shd w:fill="CCEEFF" w:val="clear"/>
            <w:vAlign w:val="center"/>
          </w:tcPr>
          <w:p>
            <w:pPr>
              <w:pStyle w:val="TableContents"/>
              <w:bidi w:val="0"/>
              <w:spacing w:before="0" w:after="1"/>
              <w:ind w:left="0" w:right="0" w:hanging="0"/>
              <w:jc w:val="left"/>
              <w:rPr/>
            </w:pPr>
            <w:r>
              <w:rPr/>
              <w:t>​</w:t>
            </w:r>
          </w:p>
        </w:tc>
      </w:tr>
      <w:tr>
        <w:trPr/>
        <w:tc>
          <w:tcPr>
            <w:tcW w:w="478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Percentage of net sales:</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586"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586"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 </w:t>
            </w:r>
          </w:p>
        </w:tc>
        <w:tc>
          <w:tcPr>
            <w:tcW w:w="751" w:type="dxa"/>
            <w:tcBorders/>
            <w:vAlign w:val="center"/>
          </w:tcPr>
          <w:p>
            <w:pPr>
              <w:pStyle w:val="TableContents"/>
              <w:bidi w:val="0"/>
              <w:spacing w:before="0" w:after="1"/>
              <w:ind w:left="0" w:right="0" w:hanging="0"/>
              <w:jc w:val="right"/>
              <w:rPr/>
            </w:pPr>
            <w:r>
              <w:rPr/>
              <w:t>​</w:t>
            </w:r>
          </w:p>
        </w:tc>
        <w:tc>
          <w:tcPr>
            <w:tcW w:w="316" w:type="dxa"/>
            <w:tcBorders/>
            <w:vAlign w:val="center"/>
          </w:tcPr>
          <w:p>
            <w:pPr>
              <w:pStyle w:val="TableContents"/>
              <w:bidi w:val="0"/>
              <w:spacing w:before="0" w:after="1"/>
              <w:ind w:left="0" w:right="0" w:hanging="0"/>
              <w:jc w:val="left"/>
              <w:rPr/>
            </w:pPr>
            <w:r>
              <w:rPr/>
              <w:t> </w:t>
            </w:r>
          </w:p>
        </w:tc>
      </w:tr>
      <w:tr>
        <w:trPr/>
        <w:tc>
          <w:tcPr>
            <w:tcW w:w="478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Cost of sales</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58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 xml:space="preserve">78 </w:t>
            </w:r>
          </w:p>
        </w:tc>
        <w:tc>
          <w:tcPr>
            <w:tcW w:w="34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211" w:type="dxa"/>
            <w:tcBorders/>
            <w:shd w:fill="CCEEFF" w:val="clear"/>
            <w:vAlign w:val="center"/>
          </w:tcPr>
          <w:p>
            <w:pPr>
              <w:pStyle w:val="TableContents"/>
              <w:bidi w:val="0"/>
              <w:spacing w:before="0" w:after="1"/>
              <w:ind w:left="0" w:right="0" w:hanging="0"/>
              <w:jc w:val="left"/>
              <w:rPr/>
            </w:pPr>
            <w:r>
              <w:rPr/>
              <w:t>​</w:t>
            </w:r>
          </w:p>
        </w:tc>
        <w:tc>
          <w:tcPr>
            <w:tcW w:w="586" w:type="dxa"/>
            <w:tcBorders/>
            <w:shd w:fill="CCEEFF" w:val="cle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 xml:space="preserve">84 </w:t>
            </w:r>
          </w:p>
        </w:tc>
        <w:tc>
          <w:tcPr>
            <w:tcW w:w="346" w:type="dxa"/>
            <w:tcBorders/>
            <w:shd w:fill="CCEEFF" w:val="cle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w:t>
            </w:r>
          </w:p>
        </w:tc>
        <w:tc>
          <w:tcPr>
            <w:tcW w:w="751" w:type="dxa"/>
            <w:tcBorders/>
            <w:shd w:fill="CCEEFF" w:val="clear"/>
            <w:vAlign w:val="center"/>
          </w:tcPr>
          <w:p>
            <w:pPr>
              <w:pStyle w:val="TableContents"/>
              <w:bidi w:val="0"/>
              <w:spacing w:before="0" w:after="1"/>
              <w:ind w:left="0" w:right="0" w:hanging="0"/>
              <w:jc w:val="right"/>
              <w:rPr/>
            </w:pPr>
            <w:r>
              <w:rPr/>
              <w:t>​</w:t>
            </w:r>
          </w:p>
        </w:tc>
        <w:tc>
          <w:tcPr>
            <w:tcW w:w="316" w:type="dxa"/>
            <w:tcBorders/>
            <w:shd w:fill="CCEEFF" w:val="clear"/>
            <w:vAlign w:val="center"/>
          </w:tcPr>
          <w:p>
            <w:pPr>
              <w:pStyle w:val="TableContents"/>
              <w:bidi w:val="0"/>
              <w:spacing w:before="0" w:after="1"/>
              <w:ind w:left="0" w:right="0" w:hanging="0"/>
              <w:jc w:val="left"/>
              <w:rPr/>
            </w:pPr>
            <w:r>
              <w:rPr/>
              <w:t> </w:t>
            </w:r>
          </w:p>
        </w:tc>
      </w:tr>
      <w:tr>
        <w:trPr/>
        <w:tc>
          <w:tcPr>
            <w:tcW w:w="478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Income from operations</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58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 xml:space="preserve">8 </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586" w:type="dxa"/>
            <w:tcBorders/>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 xml:space="preserve">3 </w:t>
            </w:r>
          </w:p>
        </w:tc>
        <w:tc>
          <w:tcPr>
            <w:tcW w:w="346" w:type="dxa"/>
            <w:tcBorders/>
            <w:vAlign w:val="center"/>
          </w:tcPr>
          <w:p>
            <w:pPr>
              <w:pStyle w:val="TableContents"/>
              <w:bidi w:val="0"/>
              <w:spacing w:before="0" w:after="1"/>
              <w:ind w:left="0" w:right="0" w:hanging="0"/>
              <w:jc w:val="left"/>
              <w:rPr/>
            </w:pPr>
            <w:r>
              <w:rPr/>
              <w:t> </w:t>
            </w:r>
          </w:p>
        </w:tc>
        <w:tc>
          <w:tcPr>
            <w:tcW w:w="751" w:type="dxa"/>
            <w:tcBorders/>
            <w:vAlign w:val="center"/>
          </w:tcPr>
          <w:p>
            <w:pPr>
              <w:pStyle w:val="TableContents"/>
              <w:bidi w:val="0"/>
              <w:spacing w:before="0" w:after="1"/>
              <w:ind w:left="0" w:right="0" w:hanging="0"/>
              <w:jc w:val="right"/>
              <w:rPr/>
            </w:pPr>
            <w:r>
              <w:rPr/>
              <w:t>​</w:t>
            </w:r>
          </w:p>
        </w:tc>
        <w:tc>
          <w:tcPr>
            <w:tcW w:w="316" w:type="dxa"/>
            <w:tcBorders/>
            <w:vAlign w:val="center"/>
          </w:tcPr>
          <w:p>
            <w:pPr>
              <w:pStyle w:val="TableContents"/>
              <w:bidi w:val="0"/>
              <w:spacing w:before="0" w:after="1"/>
              <w:ind w:left="0" w:right="0" w:hanging="0"/>
              <w:jc w:val="left"/>
              <w:rPr/>
            </w:pPr>
            <w:r>
              <w:rPr/>
              <w:t> </w:t>
            </w:r>
          </w:p>
        </w:tc>
      </w:tr>
      <w:tr>
        <w:trPr/>
        <w:tc>
          <w:tcPr>
            <w:tcW w:w="4786"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586"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586"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751" w:type="dxa"/>
            <w:tcBorders/>
            <w:shd w:fill="CCEEFF" w:val="clear"/>
            <w:vAlign w:val="center"/>
          </w:tcPr>
          <w:p>
            <w:pPr>
              <w:pStyle w:val="TableContents"/>
              <w:bidi w:val="0"/>
              <w:spacing w:before="0" w:after="1"/>
              <w:ind w:left="0" w:right="0" w:hanging="0"/>
              <w:jc w:val="right"/>
              <w:rPr/>
            </w:pPr>
            <w:r>
              <w:rPr/>
              <w:t>​</w:t>
            </w:r>
          </w:p>
        </w:tc>
        <w:tc>
          <w:tcPr>
            <w:tcW w:w="316" w:type="dxa"/>
            <w:tcBorders/>
            <w:shd w:fill="CCEEFF" w:val="clear"/>
            <w:vAlign w:val="center"/>
          </w:tcPr>
          <w:p>
            <w:pPr>
              <w:pStyle w:val="TableContents"/>
              <w:bidi w:val="0"/>
              <w:spacing w:before="0" w:after="1"/>
              <w:ind w:left="0" w:right="0" w:hanging="0"/>
              <w:jc w:val="left"/>
              <w:rPr/>
            </w:pPr>
            <w:r>
              <w:rPr/>
              <w:t>​</w:t>
            </w:r>
          </w:p>
        </w:tc>
      </w:tr>
      <w:tr>
        <w:trPr/>
        <w:tc>
          <w:tcPr>
            <w:tcW w:w="478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Equity in earnings (losses) of Kronos Worldwide, Inc.</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586"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5.5</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w:t>
            </w:r>
          </w:p>
        </w:tc>
        <w:tc>
          <w:tcPr>
            <w:tcW w:w="586"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(1.5)</w:t>
            </w:r>
          </w:p>
        </w:tc>
        <w:tc>
          <w:tcPr>
            <w:tcW w:w="346" w:type="dxa"/>
            <w:tcBorders/>
            <w:vAlign w:val="center"/>
          </w:tcPr>
          <w:p>
            <w:pPr>
              <w:pStyle w:val="TableContents"/>
              <w:bidi w:val="0"/>
              <w:spacing w:before="0" w:after="1"/>
              <w:ind w:left="0" w:right="0" w:hanging="0"/>
              <w:jc w:val="left"/>
              <w:rPr/>
            </w:pPr>
            <w:r>
              <w:rPr/>
              <w:t> </w:t>
            </w:r>
          </w:p>
        </w:tc>
        <w:tc>
          <w:tcPr>
            <w:tcW w:w="751" w:type="dxa"/>
            <w:tcBorders/>
            <w:vAlign w:val="center"/>
          </w:tcPr>
          <w:p>
            <w:pPr>
              <w:pStyle w:val="TableContents"/>
              <w:bidi w:val="0"/>
              <w:spacing w:before="0" w:after="1"/>
              <w:ind w:left="0" w:right="0" w:hanging="0"/>
              <w:jc w:val="right"/>
              <w:rPr/>
            </w:pPr>
            <w:r>
              <w:rPr/>
              <w:t>​</w:t>
            </w:r>
          </w:p>
        </w:tc>
        <w:tc>
          <w:tcPr>
            <w:tcW w:w="316" w:type="dxa"/>
            <w:tcBorders/>
            <w:vAlign w:val="center"/>
          </w:tcPr>
          <w:p>
            <w:pPr>
              <w:pStyle w:val="TableContents"/>
              <w:bidi w:val="0"/>
              <w:spacing w:before="0" w:after="1"/>
              <w:ind w:left="0" w:right="0" w:hanging="0"/>
              <w:jc w:val="left"/>
              <w:rPr/>
            </w:pPr>
            <w:r>
              <w:rPr/>
              <w:t> </w:t>
            </w:r>
          </w:p>
        </w:tc>
      </w:tr>
      <w:tr>
        <w:trPr/>
        <w:tc>
          <w:tcPr>
            <w:tcW w:w="4786"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586"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586"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751" w:type="dxa"/>
            <w:tcBorders/>
            <w:shd w:fill="CCEEFF" w:val="clear"/>
            <w:vAlign w:val="center"/>
          </w:tcPr>
          <w:p>
            <w:pPr>
              <w:pStyle w:val="TableContents"/>
              <w:bidi w:val="0"/>
              <w:spacing w:before="0" w:after="1"/>
              <w:ind w:left="0" w:right="0" w:hanging="0"/>
              <w:jc w:val="left"/>
              <w:rPr/>
            </w:pPr>
            <w:r>
              <w:rPr/>
              <w:t>​</w:t>
            </w:r>
          </w:p>
        </w:tc>
        <w:tc>
          <w:tcPr>
            <w:tcW w:w="316" w:type="dxa"/>
            <w:tcBorders/>
            <w:shd w:fill="CCEEFF" w:val="clear"/>
            <w:vAlign w:val="center"/>
          </w:tcPr>
          <w:p>
            <w:pPr>
              <w:pStyle w:val="TableContents"/>
              <w:bidi w:val="0"/>
              <w:spacing w:before="0" w:after="1"/>
              <w:ind w:left="0" w:right="0" w:hanging="0"/>
              <w:jc w:val="left"/>
              <w:rPr/>
            </w:pPr>
            <w:r>
              <w:rPr/>
              <w:t>​</w:t>
            </w:r>
          </w:p>
        </w:tc>
      </w:tr>
      <w:tr>
        <w:trPr/>
        <w:tc>
          <w:tcPr>
            <w:tcW w:w="478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TiO</w:t>
            </w:r>
            <w:r>
              <w:rPr>
                <w:rFonts w:ascii="Times New Roman;Times;serif" w:hAnsi="Times New Roman;Times;serif"/>
                <w:sz w:val="15"/>
              </w:rPr>
              <w:t>2</w:t>
            </w:r>
            <w:r>
              <w:rPr>
                <w:rFonts w:ascii="Times New Roman;Times;serif" w:hAnsi="Times New Roman;Times;serif"/>
                <w:sz w:val="20"/>
              </w:rPr>
              <w:t xml:space="preserve"> operating statistics:</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586" w:type="dxa"/>
            <w:tcBorders/>
            <w:vAlign w:val="center"/>
          </w:tcPr>
          <w:p>
            <w:pPr>
              <w:pStyle w:val="TableContents"/>
              <w:bidi w:val="0"/>
              <w:spacing w:before="0" w:after="1"/>
              <w:ind w:left="0" w:right="0" w:hanging="0"/>
              <w:jc w:val="right"/>
              <w:rPr/>
            </w:pPr>
            <w:r>
              <w:rPr/>
              <w:t>  ​</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586" w:type="dxa"/>
            <w:tcBorders/>
            <w:vAlign w:val="center"/>
          </w:tcPr>
          <w:p>
            <w:pPr>
              <w:pStyle w:val="TableContents"/>
              <w:bidi w:val="0"/>
              <w:spacing w:before="0" w:after="1"/>
              <w:ind w:left="0" w:right="0" w:hanging="0"/>
              <w:jc w:val="right"/>
              <w:rPr/>
            </w:pPr>
            <w:r>
              <w:rPr/>
              <w:t>  ​</w:t>
            </w:r>
          </w:p>
        </w:tc>
        <w:tc>
          <w:tcPr>
            <w:tcW w:w="346" w:type="dxa"/>
            <w:tcBorders/>
            <w:vAlign w:val="center"/>
          </w:tcPr>
          <w:p>
            <w:pPr>
              <w:pStyle w:val="TableContents"/>
              <w:bidi w:val="0"/>
              <w:spacing w:before="0" w:after="1"/>
              <w:ind w:left="0" w:right="0" w:hanging="0"/>
              <w:jc w:val="left"/>
              <w:rPr/>
            </w:pPr>
            <w:r>
              <w:rPr/>
              <w:t> </w:t>
            </w:r>
          </w:p>
        </w:tc>
        <w:tc>
          <w:tcPr>
            <w:tcW w:w="751" w:type="dxa"/>
            <w:tcBorders/>
            <w:vAlign w:val="center"/>
          </w:tcPr>
          <w:p>
            <w:pPr>
              <w:pStyle w:val="TableContents"/>
              <w:bidi w:val="0"/>
              <w:spacing w:before="0" w:after="1"/>
              <w:ind w:left="0" w:right="0" w:hanging="0"/>
              <w:jc w:val="right"/>
              <w:rPr/>
            </w:pPr>
            <w:r>
              <w:rPr/>
              <w:t>  ​</w:t>
            </w:r>
          </w:p>
        </w:tc>
        <w:tc>
          <w:tcPr>
            <w:tcW w:w="316" w:type="dxa"/>
            <w:tcBorders/>
            <w:vAlign w:val="center"/>
          </w:tcPr>
          <w:p>
            <w:pPr>
              <w:pStyle w:val="TableContents"/>
              <w:bidi w:val="0"/>
              <w:spacing w:before="0" w:after="1"/>
              <w:ind w:left="0" w:right="0" w:hanging="0"/>
              <w:jc w:val="left"/>
              <w:rPr/>
            </w:pPr>
            <w:r>
              <w:rPr/>
              <w:t> </w:t>
            </w:r>
          </w:p>
        </w:tc>
      </w:tr>
      <w:tr>
        <w:trPr/>
        <w:tc>
          <w:tcPr>
            <w:tcW w:w="478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Sales volumes*</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58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136</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586" w:type="dxa"/>
            <w:tcBorders/>
            <w:shd w:fill="CCEEFF" w:val="cle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142</w:t>
            </w:r>
          </w:p>
        </w:tc>
        <w:tc>
          <w:tcPr>
            <w:tcW w:w="346" w:type="dxa"/>
            <w:tcBorders/>
            <w:shd w:fill="CCEEFF" w:val="clear"/>
            <w:vAlign w:val="center"/>
          </w:tcPr>
          <w:p>
            <w:pPr>
              <w:pStyle w:val="TableContents"/>
              <w:bidi w:val="0"/>
              <w:spacing w:before="0" w:after="1"/>
              <w:ind w:left="0" w:right="0" w:hanging="0"/>
              <w:jc w:val="left"/>
              <w:rPr/>
            </w:pPr>
            <w:r>
              <w:rPr/>
              <w:t> </w:t>
            </w:r>
          </w:p>
        </w:tc>
        <w:tc>
          <w:tcPr>
            <w:tcW w:w="75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w:t>
            </w:r>
          </w:p>
        </w:tc>
        <w:tc>
          <w:tcPr>
            <w:tcW w:w="31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478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Production volumes*</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58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143</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586" w:type="dxa"/>
            <w:tcBorders/>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128</w:t>
            </w:r>
          </w:p>
        </w:tc>
        <w:tc>
          <w:tcPr>
            <w:tcW w:w="346" w:type="dxa"/>
            <w:tcBorders/>
            <w:vAlign w:val="center"/>
          </w:tcPr>
          <w:p>
            <w:pPr>
              <w:pStyle w:val="TableContents"/>
              <w:bidi w:val="0"/>
              <w:spacing w:before="0" w:after="1"/>
              <w:ind w:left="0" w:right="0" w:hanging="0"/>
              <w:jc w:val="left"/>
              <w:rPr/>
            </w:pPr>
            <w:r>
              <w:rPr/>
              <w:t> </w:t>
            </w:r>
          </w:p>
        </w:tc>
        <w:tc>
          <w:tcPr>
            <w:tcW w:w="75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w:t>
            </w:r>
          </w:p>
        </w:tc>
        <w:tc>
          <w:tcPr>
            <w:tcW w:w="316" w:type="dxa"/>
            <w:tcBorders/>
            <w:vAlign w:val="center"/>
          </w:tcPr>
          <w:p>
            <w:pPr>
              <w:pStyle w:val="TableContents"/>
              <w:bidi w:val="0"/>
              <w:spacing w:before="0" w:after="1"/>
              <w:ind w:left="0" w:right="0" w:hanging="0"/>
              <w:jc w:val="left"/>
              <w:rPr/>
            </w:pPr>
            <w:r>
              <w:rPr/>
              <w:t>​</w:t>
            </w:r>
          </w:p>
        </w:tc>
      </w:tr>
      <w:tr>
        <w:trPr/>
        <w:tc>
          <w:tcPr>
            <w:tcW w:w="4786"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586"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586"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751" w:type="dxa"/>
            <w:tcBorders/>
            <w:shd w:fill="CCEEFF" w:val="clear"/>
            <w:vAlign w:val="center"/>
          </w:tcPr>
          <w:p>
            <w:pPr>
              <w:pStyle w:val="TableContents"/>
              <w:bidi w:val="0"/>
              <w:spacing w:before="0" w:after="1"/>
              <w:ind w:left="0" w:right="0" w:hanging="0"/>
              <w:jc w:val="left"/>
              <w:rPr/>
            </w:pPr>
            <w:r>
              <w:rPr/>
              <w:t>​</w:t>
            </w:r>
          </w:p>
        </w:tc>
        <w:tc>
          <w:tcPr>
            <w:tcW w:w="316" w:type="dxa"/>
            <w:tcBorders/>
            <w:shd w:fill="CCEEFF" w:val="clear"/>
            <w:vAlign w:val="center"/>
          </w:tcPr>
          <w:p>
            <w:pPr>
              <w:pStyle w:val="TableContents"/>
              <w:bidi w:val="0"/>
              <w:spacing w:before="0" w:after="1"/>
              <w:ind w:left="0" w:right="0" w:hanging="0"/>
              <w:jc w:val="left"/>
              <w:rPr/>
            </w:pPr>
            <w:r>
              <w:rPr/>
              <w:t>​</w:t>
            </w:r>
          </w:p>
        </w:tc>
      </w:tr>
      <w:tr>
        <w:trPr/>
        <w:tc>
          <w:tcPr>
            <w:tcW w:w="478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Change in TiO</w:t>
            </w:r>
            <w:r>
              <w:rPr>
                <w:rFonts w:ascii="Times New Roman;Times;serif" w:hAnsi="Times New Roman;Times;serif"/>
                <w:sz w:val="15"/>
              </w:rPr>
              <w:t>2</w:t>
            </w:r>
            <w:r>
              <w:rPr>
                <w:rFonts w:ascii="Times New Roman;Times;serif" w:hAnsi="Times New Roman;Times;serif"/>
                <w:sz w:val="20"/>
              </w:rPr>
              <w:t xml:space="preserve"> net sales:</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586" w:type="dxa"/>
            <w:tcBorders/>
            <w:vAlign w:val="center"/>
          </w:tcPr>
          <w:p>
            <w:pPr>
              <w:pStyle w:val="TableContents"/>
              <w:bidi w:val="0"/>
              <w:spacing w:before="0" w:after="1"/>
              <w:ind w:left="0" w:right="0" w:hanging="0"/>
              <w:jc w:val="right"/>
              <w:rPr/>
            </w:pPr>
            <w:r>
              <w:rPr/>
              <w:t>  ​</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586" w:type="dxa"/>
            <w:tcBorders/>
            <w:vAlign w:val="center"/>
          </w:tcPr>
          <w:p>
            <w:pPr>
              <w:pStyle w:val="TableContents"/>
              <w:bidi w:val="0"/>
              <w:spacing w:before="0" w:after="1"/>
              <w:ind w:left="0" w:right="0" w:hanging="0"/>
              <w:jc w:val="right"/>
              <w:rPr/>
            </w:pPr>
            <w:r>
              <w:rPr/>
              <w:t>  ​</w:t>
            </w:r>
          </w:p>
        </w:tc>
        <w:tc>
          <w:tcPr>
            <w:tcW w:w="346" w:type="dxa"/>
            <w:tcBorders/>
            <w:vAlign w:val="center"/>
          </w:tcPr>
          <w:p>
            <w:pPr>
              <w:pStyle w:val="TableContents"/>
              <w:bidi w:val="0"/>
              <w:spacing w:before="0" w:after="1"/>
              <w:ind w:left="0" w:right="0" w:hanging="0"/>
              <w:jc w:val="left"/>
              <w:rPr/>
            </w:pPr>
            <w:r>
              <w:rPr/>
              <w:t> </w:t>
            </w:r>
          </w:p>
        </w:tc>
        <w:tc>
          <w:tcPr>
            <w:tcW w:w="751" w:type="dxa"/>
            <w:tcBorders/>
            <w:vAlign w:val="center"/>
          </w:tcPr>
          <w:p>
            <w:pPr>
              <w:pStyle w:val="TableContents"/>
              <w:bidi w:val="0"/>
              <w:spacing w:before="0" w:after="1"/>
              <w:ind w:left="0" w:right="0" w:hanging="0"/>
              <w:jc w:val="right"/>
              <w:rPr/>
            </w:pPr>
            <w:r>
              <w:rPr/>
              <w:t>​</w:t>
            </w:r>
          </w:p>
        </w:tc>
        <w:tc>
          <w:tcPr>
            <w:tcW w:w="316" w:type="dxa"/>
            <w:tcBorders/>
            <w:vAlign w:val="center"/>
          </w:tcPr>
          <w:p>
            <w:pPr>
              <w:pStyle w:val="TableContents"/>
              <w:bidi w:val="0"/>
              <w:spacing w:before="0" w:after="1"/>
              <w:ind w:left="0" w:right="0" w:hanging="0"/>
              <w:jc w:val="left"/>
              <w:rPr/>
            </w:pPr>
            <w:r>
              <w:rPr/>
              <w:t> </w:t>
            </w:r>
          </w:p>
        </w:tc>
      </w:tr>
      <w:tr>
        <w:trPr/>
        <w:tc>
          <w:tcPr>
            <w:tcW w:w="478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TiO</w:t>
            </w:r>
            <w:r>
              <w:rPr>
                <w:rFonts w:ascii="Times New Roman;Times;serif" w:hAnsi="Times New Roman;Times;serif"/>
                <w:sz w:val="15"/>
              </w:rPr>
              <w:t>2</w:t>
            </w:r>
            <w:r>
              <w:rPr>
                <w:rFonts w:ascii="Times New Roman;Times;serif" w:hAnsi="Times New Roman;Times;serif"/>
                <w:sz w:val="20"/>
              </w:rPr>
              <w:t xml:space="preserve"> sales volumes</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586"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586"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75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w:t>
            </w:r>
          </w:p>
        </w:tc>
        <w:tc>
          <w:tcPr>
            <w:tcW w:w="31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478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TiO</w:t>
            </w:r>
            <w:r>
              <w:rPr>
                <w:rFonts w:ascii="Times New Roman;Times;serif" w:hAnsi="Times New Roman;Times;serif"/>
                <w:sz w:val="15"/>
              </w:rPr>
              <w:t>2</w:t>
            </w:r>
            <w:r>
              <w:rPr>
                <w:rFonts w:ascii="Times New Roman;Times;serif" w:hAnsi="Times New Roman;Times;serif"/>
                <w:sz w:val="20"/>
              </w:rPr>
              <w:t xml:space="preserve"> product pricing</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58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58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 </w:t>
            </w:r>
          </w:p>
        </w:tc>
        <w:tc>
          <w:tcPr>
            <w:tcW w:w="75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w:t>
            </w:r>
          </w:p>
        </w:tc>
        <w:tc>
          <w:tcPr>
            <w:tcW w:w="316" w:type="dxa"/>
            <w:tcBorders/>
            <w:vAlign w:val="center"/>
          </w:tcPr>
          <w:p>
            <w:pPr>
              <w:pStyle w:val="TableContents"/>
              <w:bidi w:val="0"/>
              <w:spacing w:before="0" w:after="1"/>
              <w:ind w:left="0" w:right="0" w:hanging="0"/>
              <w:jc w:val="left"/>
              <w:rPr/>
            </w:pPr>
            <w:r>
              <w:rPr/>
              <w:t>​</w:t>
            </w:r>
          </w:p>
        </w:tc>
      </w:tr>
      <w:tr>
        <w:trPr/>
        <w:tc>
          <w:tcPr>
            <w:tcW w:w="478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TiO</w:t>
            </w:r>
            <w:r>
              <w:rPr>
                <w:rFonts w:ascii="Times New Roman;Times;serif" w:hAnsi="Times New Roman;Times;serif"/>
                <w:sz w:val="15"/>
              </w:rPr>
              <w:t>2</w:t>
            </w:r>
            <w:r>
              <w:rPr>
                <w:rFonts w:ascii="Times New Roman;Times;serif" w:hAnsi="Times New Roman;Times;serif"/>
                <w:sz w:val="20"/>
              </w:rPr>
              <w:t xml:space="preserve"> product mix/other</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586"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586"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 </w:t>
            </w:r>
          </w:p>
        </w:tc>
        <w:tc>
          <w:tcPr>
            <w:tcW w:w="751" w:type="dxa"/>
            <w:tcBorders/>
            <w:shd w:fill="CCEEFF" w:val="clear"/>
            <w:vAlign w:val="center"/>
          </w:tcPr>
          <w:p>
            <w:pPr>
              <w:pStyle w:val="TableContents"/>
              <w:bidi w:val="0"/>
              <w:spacing w:before="0" w:after="1"/>
              <w:ind w:left="0" w:right="0" w:hanging="0"/>
              <w:jc w:val="right"/>
              <w:rPr/>
            </w:pPr>
            <w:r>
              <w:rPr/>
              <w:t>—</w:t>
            </w:r>
          </w:p>
        </w:tc>
        <w:tc>
          <w:tcPr>
            <w:tcW w:w="316" w:type="dxa"/>
            <w:tcBorders/>
            <w:shd w:fill="CCEEFF" w:val="clear"/>
            <w:vAlign w:val="center"/>
          </w:tcPr>
          <w:p>
            <w:pPr>
              <w:pStyle w:val="TableContents"/>
              <w:bidi w:val="0"/>
              <w:spacing w:before="0" w:after="1"/>
              <w:ind w:left="0" w:right="0" w:hanging="0"/>
              <w:jc w:val="left"/>
              <w:rPr/>
            </w:pPr>
            <w:r>
              <w:rPr/>
              <w:t>​</w:t>
            </w:r>
          </w:p>
        </w:tc>
      </w:tr>
      <w:tr>
        <w:trPr/>
        <w:tc>
          <w:tcPr>
            <w:tcW w:w="478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Changes in currency exchange rates</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58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58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 </w:t>
            </w:r>
          </w:p>
        </w:tc>
        <w:tc>
          <w:tcPr>
            <w:tcW w:w="75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w:t>
            </w:r>
          </w:p>
        </w:tc>
        <w:tc>
          <w:tcPr>
            <w:tcW w:w="316" w:type="dxa"/>
            <w:tcBorders/>
            <w:vAlign w:val="center"/>
          </w:tcPr>
          <w:p>
            <w:pPr>
              <w:pStyle w:val="TableContents"/>
              <w:bidi w:val="0"/>
              <w:spacing w:before="0" w:after="1"/>
              <w:ind w:left="0" w:right="0" w:hanging="0"/>
              <w:jc w:val="left"/>
              <w:rPr/>
            </w:pPr>
            <w:r>
              <w:rPr/>
              <w:t>​</w:t>
            </w:r>
          </w:p>
        </w:tc>
      </w:tr>
      <w:tr>
        <w:trPr/>
        <w:tc>
          <w:tcPr>
            <w:tcW w:w="478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Total</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586"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586"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75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w:t>
            </w:r>
          </w:p>
        </w:tc>
        <w:tc>
          <w:tcPr>
            <w:tcW w:w="31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r>
    </w:tbl>
    <w:p>
      <w:pPr>
        <w:pStyle w:val="TextBody"/>
        <w:bidi w:val="0"/>
        <w:spacing w:before="240" w:after="240"/>
        <w:ind w:left="0" w:right="0" w:firstLine="720"/>
        <w:jc w:val="both"/>
        <w:rPr>
          <w:rFonts w:ascii="Times New Roman;Times;serif" w:hAnsi="Times New Roman;Times;serif"/>
          <w:sz w:val="16"/>
        </w:rPr>
      </w:pPr>
      <w:r>
        <w:rPr>
          <w:rFonts w:ascii="Times New Roman;Times;serif" w:hAnsi="Times New Roman;Times;serif"/>
          <w:sz w:val="20"/>
        </w:rPr>
        <w:t>Kronos’ key performance indicators are its TiO</w:t>
      </w:r>
      <w:r>
        <w:rPr>
          <w:rFonts w:ascii="Times New Roman;Times;serif" w:hAnsi="Times New Roman;Times;serif"/>
          <w:sz w:val="15"/>
        </w:rPr>
        <w:t>2</w:t>
      </w:r>
      <w:r>
        <w:rPr>
          <w:rFonts w:ascii="Times New Roman;Times;serif" w:hAnsi="Times New Roman;Times;serif"/>
          <w:sz w:val="16"/>
        </w:rPr>
        <w:t xml:space="preserve"> </w:t>
      </w:r>
      <w:r>
        <w:rPr>
          <w:rFonts w:ascii="Times New Roman;Times;serif" w:hAnsi="Times New Roman;Times;serif"/>
          <w:sz w:val="20"/>
        </w:rPr>
        <w:t>average selling prices, its level of TiO</w:t>
      </w:r>
      <w:r>
        <w:rPr>
          <w:rFonts w:ascii="Times New Roman;Times;serif" w:hAnsi="Times New Roman;Times;serif"/>
          <w:sz w:val="15"/>
        </w:rPr>
        <w:t>2</w:t>
      </w:r>
      <w:r>
        <w:rPr>
          <w:rFonts w:ascii="Times New Roman;Times;serif" w:hAnsi="Times New Roman;Times;serif"/>
          <w:sz w:val="16"/>
        </w:rPr>
        <w:t xml:space="preserve"> </w:t>
      </w:r>
      <w:r>
        <w:rPr>
          <w:rFonts w:ascii="Times New Roman;Times;serif" w:hAnsi="Times New Roman;Times;serif"/>
          <w:sz w:val="20"/>
        </w:rPr>
        <w:t>sales and production volumes and the cost of titanium-containing feedstock purchased from third parties. TiO</w:t>
      </w:r>
      <w:r>
        <w:rPr>
          <w:rFonts w:ascii="Times New Roman;Times;serif" w:hAnsi="Times New Roman;Times;serif"/>
          <w:sz w:val="15"/>
        </w:rPr>
        <w:t>2</w:t>
      </w:r>
      <w:r>
        <w:rPr>
          <w:rFonts w:ascii="Times New Roman;Times;serif" w:hAnsi="Times New Roman;Times;serif"/>
          <w:sz w:val="16"/>
        </w:rPr>
        <w:t xml:space="preserve"> </w:t>
      </w:r>
      <w:r>
        <w:rPr>
          <w:rFonts w:ascii="Times New Roman;Times;serif" w:hAnsi="Times New Roman;Times;serif"/>
          <w:sz w:val="20"/>
        </w:rPr>
        <w:t>selling prices generally follow industry trends, and prices will increase or decrease generally as a result of competitive market pressures.</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Current industry conditions</w:t>
      </w:r>
    </w:p>
    <w:p>
      <w:pPr>
        <w:pStyle w:val="TextBody"/>
        <w:bidi w:val="0"/>
        <w:spacing w:before="240" w:after="240"/>
        <w:ind w:left="0" w:right="0" w:firstLine="720"/>
        <w:jc w:val="both"/>
        <w:rPr>
          <w:rFonts w:ascii="Times New Roman;Times;serif" w:hAnsi="Times New Roman;Times;serif"/>
          <w:sz w:val="20"/>
        </w:rPr>
      </w:pPr>
      <w:r>
        <w:rPr>
          <w:rFonts w:ascii="Times New Roman;Times;serif" w:hAnsi="Times New Roman;Times;serif"/>
          <w:sz w:val="20"/>
        </w:rPr>
        <w:t>Kronos started 2026 with average TiO</w:t>
      </w:r>
      <w:r>
        <w:rPr>
          <w:rFonts w:ascii="Times New Roman;Times;serif" w:hAnsi="Times New Roman;Times;serif"/>
          <w:sz w:val="15"/>
        </w:rPr>
        <w:t>2</w:t>
      </w:r>
      <w:r>
        <w:rPr>
          <w:rFonts w:ascii="Times New Roman;Times;serif" w:hAnsi="Times New Roman;Times;serif"/>
          <w:sz w:val="20"/>
        </w:rPr>
        <w:t xml:space="preserve"> selling prices lower than at the beginning of 2025; however, its average TiO</w:t>
      </w:r>
      <w:r>
        <w:rPr>
          <w:rFonts w:ascii="Times New Roman;Times;serif" w:hAnsi="Times New Roman;Times;serif"/>
          <w:sz w:val="15"/>
        </w:rPr>
        <w:t>2</w:t>
      </w:r>
      <w:r>
        <w:rPr>
          <w:rFonts w:ascii="Times New Roman;Times;serif" w:hAnsi="Times New Roman;Times;serif"/>
          <w:sz w:val="20"/>
        </w:rPr>
        <w:t xml:space="preserve"> selling prices increased 2% during the first quarter of 2026. Kronos’ average TiO</w:t>
      </w:r>
      <w:r>
        <w:rPr>
          <w:rFonts w:ascii="Times New Roman;Times;serif" w:hAnsi="Times New Roman;Times;serif"/>
          <w:sz w:val="15"/>
        </w:rPr>
        <w:t>2</w:t>
      </w:r>
      <w:r>
        <w:rPr>
          <w:rFonts w:ascii="Times New Roman;Times;serif" w:hAnsi="Times New Roman;Times;serif"/>
          <w:sz w:val="20"/>
        </w:rPr>
        <w:t xml:space="preserve"> selling prices in the first quarter of 2026 were 6% lower than average TiO</w:t>
      </w:r>
      <w:r>
        <w:rPr>
          <w:rFonts w:ascii="Times New Roman;Times;serif" w:hAnsi="Times New Roman;Times;serif"/>
          <w:sz w:val="15"/>
        </w:rPr>
        <w:t>2</w:t>
      </w:r>
      <w:r>
        <w:rPr>
          <w:rFonts w:ascii="Times New Roman;Times;serif" w:hAnsi="Times New Roman;Times;serif"/>
          <w:sz w:val="20"/>
        </w:rPr>
        <w:t xml:space="preserve"> selling prices during the first quarter of 2025. Overall, Kronos’ sales volumes increased in the first quarter of 2026 compared to the same period in 2025 due to higher overall sales volumes in the North American, Latin American and export markets partially offset by lower sales volumes in its European market.</w:t>
      </w:r>
    </w:p>
    <w:p>
      <w:pPr>
        <w:pStyle w:val="TextBody"/>
        <w:bidi w:val="0"/>
        <w:spacing w:before="240" w:after="240"/>
        <w:ind w:left="0" w:right="0" w:firstLine="720"/>
        <w:jc w:val="both"/>
        <w:rPr>
          <w:rFonts w:ascii="Times New Roman;Times;serif" w:hAnsi="Times New Roman;Times;serif"/>
          <w:sz w:val="20"/>
        </w:rPr>
      </w:pPr>
      <w:r>
        <w:rPr>
          <w:rFonts w:ascii="Times New Roman;Times;serif" w:hAnsi="Times New Roman;Times;serif"/>
          <w:sz w:val="20"/>
        </w:rPr>
        <w:t xml:space="preserve">During the fourth quarter of 2025, Kronos implemented cost reduction initiatives, including workforce reductions and other measures, to permanently improve its cost structure and enable more efficient operation of its facilities at lower production rates for extended periods. As a result, beginning in the first quarter of 2026, Kronos’ normal production capacity range has been adjusted to reflect its production capabilities under this new cost structure. </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Excluding the effect of changes in currency exchange rates, Kronos’ cost of sales per metric ton of TiO</w:t>
      </w:r>
      <w:r>
        <w:rPr>
          <w:rFonts w:ascii="Times New Roman;Times;serif" w:hAnsi="Times New Roman;Times;serif"/>
          <w:sz w:val="15"/>
        </w:rPr>
        <w:t>2</w:t>
      </w:r>
      <w:r>
        <w:rPr>
          <w:rFonts w:ascii="Times New Roman;Times;serif" w:hAnsi="Times New Roman;Times;serif"/>
          <w:sz w:val="20"/>
        </w:rPr>
        <w:t xml:space="preserve"> sold in the first quarter of 2026 was lower as compared to the first quarter of 2025 due to decreases in per metric ton production costs driven primarily by the cost reduction initiatives discussed above, as well as lower raw material and energy costs. </w:t>
      </w:r>
    </w:p>
    <w:p>
      <w:pPr>
        <w:pStyle w:val="TextBody"/>
        <w:bidi w:val="0"/>
        <w:spacing w:before="0" w:after="0"/>
        <w:ind w:left="0" w:right="0" w:firstLine="720"/>
        <w:jc w:val="both"/>
        <w:rPr/>
      </w:pPr>
      <w:r>
        <w:rPr/>
        <w:t>​</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25</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tbl>
      <w:tblPr>
        <w:tblW w:w="1368" w:type="dxa"/>
        <w:jc w:val="left"/>
        <w:tblInd w:w="0" w:type="dxa"/>
        <w:tblLayout w:type="fixed"/>
        <w:tblCellMar>
          <w:top w:w="0" w:type="dxa"/>
          <w:left w:w="0" w:type="dxa"/>
          <w:bottom w:w="0" w:type="dxa"/>
          <w:right w:w="0" w:type="dxa"/>
        </w:tblCellMar>
      </w:tblPr>
      <w:tblGrid>
        <w:gridCol w:w="124"/>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0">
                      <wp:simplePos x="0" y="0"/>
                      <wp:positionH relativeFrom="character">
                        <wp:align>left</wp:align>
                      </wp:positionH>
                      <wp:positionV relativeFrom="line">
                        <wp:posOffset>635</wp:posOffset>
                      </wp:positionV>
                      <wp:extent cx="78740" cy="175260"/>
                      <wp:effectExtent l="0" t="0" r="0" b="0"/>
                      <wp:wrapNone/>
                      <wp:docPr id="219" name="Frame219"/>
                      <a:graphic xmlns:a="http://schemas.openxmlformats.org/drawingml/2006/main">
                        <a:graphicData uri="http://schemas.microsoft.com/office/word/2010/wordprocessingShape">
                          <wps:wsp>
                            <wps:cNvSpPr txBox="1"/>
                            <wps:spPr>
                              <a:xfrm>
                                <a:off x="0" y="0"/>
                                <a:ext cx="7874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1">
                      <wp:simplePos x="0" y="0"/>
                      <wp:positionH relativeFrom="character">
                        <wp:align>left</wp:align>
                      </wp:positionH>
                      <wp:positionV relativeFrom="line">
                        <wp:posOffset>635</wp:posOffset>
                      </wp:positionV>
                      <wp:extent cx="69215" cy="175260"/>
                      <wp:effectExtent l="0" t="0" r="0" b="0"/>
                      <wp:wrapNone/>
                      <wp:docPr id="220" name="Frame220"/>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2">
                      <wp:simplePos x="0" y="0"/>
                      <wp:positionH relativeFrom="character">
                        <wp:align>left</wp:align>
                      </wp:positionH>
                      <wp:positionV relativeFrom="line">
                        <wp:posOffset>635</wp:posOffset>
                      </wp:positionV>
                      <wp:extent cx="69215" cy="175260"/>
                      <wp:effectExtent l="0" t="0" r="0" b="0"/>
                      <wp:wrapNone/>
                      <wp:docPr id="221" name="Frame221"/>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3">
                      <wp:simplePos x="0" y="0"/>
                      <wp:positionH relativeFrom="character">
                        <wp:align>left</wp:align>
                      </wp:positionH>
                      <wp:positionV relativeFrom="line">
                        <wp:posOffset>635</wp:posOffset>
                      </wp:positionV>
                      <wp:extent cx="69215" cy="175260"/>
                      <wp:effectExtent l="0" t="0" r="0" b="0"/>
                      <wp:wrapNone/>
                      <wp:docPr id="222" name="Frame222"/>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4">
                      <wp:simplePos x="0" y="0"/>
                      <wp:positionH relativeFrom="character">
                        <wp:align>left</wp:align>
                      </wp:positionH>
                      <wp:positionV relativeFrom="line">
                        <wp:posOffset>635</wp:posOffset>
                      </wp:positionV>
                      <wp:extent cx="69215" cy="175260"/>
                      <wp:effectExtent l="0" t="0" r="0" b="0"/>
                      <wp:wrapNone/>
                      <wp:docPr id="223" name="Frame223"/>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5">
                      <wp:simplePos x="0" y="0"/>
                      <wp:positionH relativeFrom="character">
                        <wp:align>left</wp:align>
                      </wp:positionH>
                      <wp:positionV relativeFrom="line">
                        <wp:posOffset>635</wp:posOffset>
                      </wp:positionV>
                      <wp:extent cx="69215" cy="175260"/>
                      <wp:effectExtent l="0" t="0" r="0" b="0"/>
                      <wp:wrapNone/>
                      <wp:docPr id="224" name="Frame224"/>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6">
                      <wp:simplePos x="0" y="0"/>
                      <wp:positionH relativeFrom="character">
                        <wp:align>left</wp:align>
                      </wp:positionH>
                      <wp:positionV relativeFrom="line">
                        <wp:posOffset>635</wp:posOffset>
                      </wp:positionV>
                      <wp:extent cx="69215" cy="175260"/>
                      <wp:effectExtent l="0" t="0" r="0" b="0"/>
                      <wp:wrapNone/>
                      <wp:docPr id="225" name="Frame225"/>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7">
                      <wp:simplePos x="0" y="0"/>
                      <wp:positionH relativeFrom="character">
                        <wp:align>left</wp:align>
                      </wp:positionH>
                      <wp:positionV relativeFrom="line">
                        <wp:posOffset>635</wp:posOffset>
                      </wp:positionV>
                      <wp:extent cx="69215" cy="175260"/>
                      <wp:effectExtent l="0" t="0" r="0" b="0"/>
                      <wp:wrapNone/>
                      <wp:docPr id="226" name="Frame226"/>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8">
                      <wp:simplePos x="0" y="0"/>
                      <wp:positionH relativeFrom="character">
                        <wp:align>left</wp:align>
                      </wp:positionH>
                      <wp:positionV relativeFrom="line">
                        <wp:posOffset>635</wp:posOffset>
                      </wp:positionV>
                      <wp:extent cx="69215" cy="175260"/>
                      <wp:effectExtent l="0" t="0" r="0" b="0"/>
                      <wp:wrapNone/>
                      <wp:docPr id="227" name="Frame227"/>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9">
                      <wp:simplePos x="0" y="0"/>
                      <wp:positionH relativeFrom="character">
                        <wp:align>left</wp:align>
                      </wp:positionH>
                      <wp:positionV relativeFrom="line">
                        <wp:posOffset>635</wp:posOffset>
                      </wp:positionV>
                      <wp:extent cx="69215" cy="175260"/>
                      <wp:effectExtent l="0" t="0" r="0" b="0"/>
                      <wp:wrapNone/>
                      <wp:docPr id="228" name="Frame228"/>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0">
                      <wp:simplePos x="0" y="0"/>
                      <wp:positionH relativeFrom="character">
                        <wp:align>left</wp:align>
                      </wp:positionH>
                      <wp:positionV relativeFrom="line">
                        <wp:posOffset>635</wp:posOffset>
                      </wp:positionV>
                      <wp:extent cx="69215" cy="175260"/>
                      <wp:effectExtent l="0" t="0" r="0" b="0"/>
                      <wp:wrapNone/>
                      <wp:docPr id="229" name="Frame229"/>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54" w:type="dxa"/>
            <w:tcBorders/>
            <w:vAlign w:val="center"/>
          </w:tcPr>
          <w:p>
            <w:pPr>
              <w:pStyle w:val="TableContents"/>
              <w:bidi w:val="0"/>
              <w:spacing w:before="0" w:after="283"/>
              <w:jc w:val="left"/>
              <w:rPr>
                <w:sz w:val="4"/>
                <w:szCs w:val="4"/>
              </w:rPr>
            </w:pPr>
            <w:r>
              <w:rPr>
                <w:sz w:val="4"/>
                <w:szCs w:val="4"/>
              </w:rPr>
            </w:r>
            <w:r>
              <mc:AlternateContent>
                <mc:Choice Requires="wps">
                  <w:drawing>
                    <wp:anchor behindDoc="0" distT="0" distB="0" distL="0" distR="0" simplePos="0" locked="0" layoutInCell="1" allowOverlap="1" relativeHeight="231">
                      <wp:simplePos x="0" y="0"/>
                      <wp:positionH relativeFrom="character">
                        <wp:align>left</wp:align>
                      </wp:positionH>
                      <wp:positionV relativeFrom="line">
                        <wp:posOffset>635</wp:posOffset>
                      </wp:positionV>
                      <wp:extent cx="97790" cy="175260"/>
                      <wp:effectExtent l="0" t="0" r="0" b="0"/>
                      <wp:wrapNone/>
                      <wp:docPr id="230" name="Frame230"/>
                      <a:graphic xmlns:a="http://schemas.openxmlformats.org/drawingml/2006/main">
                        <a:graphicData uri="http://schemas.microsoft.com/office/word/2010/wordprocessingShape">
                          <wps:wsp>
                            <wps:cNvSpPr txBox="1"/>
                            <wps:spPr>
                              <a:xfrm>
                                <a:off x="0" y="0"/>
                                <a:ext cx="9779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bl>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i/>
          <w:sz w:val="20"/>
        </w:rPr>
        <w:t>Net sales </w:t>
      </w:r>
      <w:r>
        <w:rPr>
          <w:rFonts w:ascii="Times New Roman;Times;serif" w:hAnsi="Times New Roman;Times;serif"/>
          <w:sz w:val="20"/>
        </w:rPr>
        <w:t>– Kronos’ net sales in the first quarter of 2026 increased 4%, or $20.0 million, compared to the first quarter of 2025 primarily due to the effects of a 4% increase in sales volumes (which increased net sales by approximately $20 million) and the favorable impact of changes in currency exchange rates (primarily the euro) which Kronos estimates increased its net sales by approximately $30 million. These increases were partially offset by  a 6% decrease in average TiO</w:t>
      </w:r>
      <w:r>
        <w:rPr>
          <w:rFonts w:ascii="Times New Roman;Times;serif" w:hAnsi="Times New Roman;Times;serif"/>
          <w:sz w:val="15"/>
        </w:rPr>
        <w:t xml:space="preserve">2 </w:t>
      </w:r>
      <w:r>
        <w:rPr>
          <w:rFonts w:ascii="Times New Roman;Times;serif" w:hAnsi="Times New Roman;Times;serif"/>
          <w:sz w:val="20"/>
        </w:rPr>
        <w:t>selling prices (which decreased net sales by approximately $30 million). TiO</w:t>
      </w:r>
      <w:r>
        <w:rPr>
          <w:rFonts w:ascii="Times New Roman;Times;serif" w:hAnsi="Times New Roman;Times;serif"/>
          <w:sz w:val="15"/>
        </w:rPr>
        <w:t>2</w:t>
      </w:r>
      <w:r>
        <w:rPr>
          <w:rFonts w:ascii="Times New Roman;Times;serif" w:hAnsi="Times New Roman;Times;serif"/>
          <w:sz w:val="20"/>
        </w:rPr>
        <w:t xml:space="preserve"> selling prices will increase or decrease generally as a result of competitive market pressures, changes in the relative level of supply and demand as well as changes in raw material and other manufacturing costs.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 xml:space="preserve">Kronos’ sales volumes increased 4% in the first quarter of 2026 as compared to the first quarter of 2025 primarily due to higher sales volumes in its North American, Latin American and export markets partially offset by lower sales volumes in its European market.  The incremental market share gains Kronos achieved in its European market during the second half of 2025, primarily as a result of competitor plant closures, continued into the first quarter of 2026. However, gains were not sufficient to offset the underlying decline in overall European demand. </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i/>
          <w:sz w:val="20"/>
        </w:rPr>
        <w:t>Cost of sales and gross margin </w:t>
      </w:r>
      <w:r>
        <w:rPr>
          <w:rFonts w:ascii="Times New Roman;Times;serif" w:hAnsi="Times New Roman;Times;serif"/>
          <w:sz w:val="20"/>
        </w:rPr>
        <w:t xml:space="preserve">– Kronos’ cost </w:t>
      </w:r>
      <w:r>
        <w:rPr>
          <w:rFonts w:ascii="Times New Roman;Times;serif" w:hAnsi="Times New Roman;Times;serif"/>
          <w:sz w:val="20"/>
          <w:shd w:fill="FFFFFF" w:val="clear"/>
        </w:rPr>
        <w:t xml:space="preserve">of sales increased by $43.5 million, or 11%, in the </w:t>
      </w:r>
      <w:r>
        <w:rPr>
          <w:rFonts w:ascii="Times New Roman;Times;serif" w:hAnsi="Times New Roman;Times;serif"/>
          <w:sz w:val="20"/>
        </w:rPr>
        <w:t>first</w:t>
      </w:r>
      <w:r>
        <w:rPr>
          <w:rFonts w:ascii="Times New Roman;Times;serif" w:hAnsi="Times New Roman;Times;serif"/>
          <w:sz w:val="20"/>
          <w:shd w:fill="FFFFFF" w:val="clear"/>
        </w:rPr>
        <w:t xml:space="preserve"> quarter of 2026 compared to the </w:t>
      </w:r>
      <w:r>
        <w:rPr>
          <w:rFonts w:ascii="Times New Roman;Times;serif" w:hAnsi="Times New Roman;Times;serif"/>
          <w:sz w:val="20"/>
        </w:rPr>
        <w:t>first</w:t>
      </w:r>
      <w:r>
        <w:rPr>
          <w:rFonts w:ascii="Times New Roman;Times;serif" w:hAnsi="Times New Roman;Times;serif"/>
          <w:sz w:val="20"/>
          <w:shd w:fill="FFFFFF" w:val="clear"/>
        </w:rPr>
        <w:t xml:space="preserve"> quarter of 2025 due to the effects of a 4% increase in sales volumes </w:t>
      </w:r>
      <w:r>
        <w:rPr>
          <w:rFonts w:ascii="Times New Roman;Times;serif" w:hAnsi="Times New Roman;Times;serif"/>
          <w:sz w:val="20"/>
        </w:rPr>
        <w:t xml:space="preserve">and the unfavorable impact from changes in currency exchange rates </w:t>
      </w:r>
      <w:r>
        <w:rPr>
          <w:rFonts w:ascii="Times New Roman;Times;serif" w:hAnsi="Times New Roman;Times;serif"/>
          <w:sz w:val="20"/>
          <w:shd w:fill="FFFFFF" w:val="clear"/>
        </w:rPr>
        <w:t>partially offset by lower production costs driven primarily by the cost reduction initiatives as well as lower raw material and energy costs. In addition, unabsorbed fixed costs were not material in the first quarter of 2026 compared to $10 million of unabsorbed fixed costs in the first quarter of 2025.</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Kronos’ cost of sales as a percentage of net sales increased to 84% in the first quarter of 2026 compared to 78% in the same period of 2025, as the unfavorable impact of lower average TiO</w:t>
      </w:r>
      <w:r>
        <w:rPr>
          <w:rFonts w:ascii="Times New Roman;Times;serif" w:hAnsi="Times New Roman;Times;serif"/>
          <w:sz w:val="15"/>
        </w:rPr>
        <w:t>2</w:t>
      </w:r>
      <w:r>
        <w:rPr>
          <w:rFonts w:ascii="Times New Roman;Times;serif" w:hAnsi="Times New Roman;Times;serif"/>
          <w:sz w:val="20"/>
        </w:rPr>
        <w:t xml:space="preserve"> selling prices more than offset the favorable effects of lower production costs.</w:t>
      </w:r>
    </w:p>
    <w:p>
      <w:pPr>
        <w:pStyle w:val="TextBody"/>
        <w:bidi w:val="0"/>
        <w:spacing w:before="240" w:after="240"/>
        <w:ind w:left="0" w:right="0" w:firstLine="720"/>
        <w:jc w:val="both"/>
        <w:rPr>
          <w:rFonts w:ascii="Times New Roman;Times;serif" w:hAnsi="Times New Roman;Times;serif"/>
          <w:sz w:val="20"/>
        </w:rPr>
      </w:pPr>
      <w:r>
        <w:rPr>
          <w:rFonts w:ascii="Times New Roman;Times;serif" w:hAnsi="Times New Roman;Times;serif"/>
          <w:sz w:val="20"/>
        </w:rPr>
        <w:t>Kronos’ gross margin as a percentage of net sales decreased to 16% in the first quarter of 2026 compared to 22% in the first quarter of 2025. As discussed and quantified above, Kronos’ gross margin as a percentage of net sales decreased primarily due to the net effects of  higher sales volumes, lower average TiO</w:t>
      </w:r>
      <w:r>
        <w:rPr>
          <w:rFonts w:ascii="Times New Roman;Times;serif" w:hAnsi="Times New Roman;Times;serif"/>
          <w:sz w:val="15"/>
        </w:rPr>
        <w:t>2</w:t>
      </w:r>
      <w:r>
        <w:rPr>
          <w:rFonts w:ascii="Times New Roman;Times;serif" w:hAnsi="Times New Roman;Times;serif"/>
          <w:sz w:val="20"/>
        </w:rPr>
        <w:t xml:space="preserve"> selling prices,</w:t>
      </w:r>
      <w:r>
        <w:rPr>
          <w:rFonts w:ascii="Times New Roman;Times;serif" w:hAnsi="Times New Roman;Times;serif"/>
          <w:sz w:val="20"/>
          <w:shd w:fill="FFFFFF" w:val="clear"/>
        </w:rPr>
        <w:t xml:space="preserve"> lower production costs</w:t>
      </w:r>
      <w:r>
        <w:rPr>
          <w:rFonts w:ascii="Times New Roman;Times;serif" w:hAnsi="Times New Roman;Times;serif"/>
          <w:sz w:val="20"/>
        </w:rPr>
        <w:t xml:space="preserve"> and changes in currency exchange rates.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i/>
          <w:sz w:val="20"/>
        </w:rPr>
        <w:t>Selling, general and administrative expense </w:t>
      </w:r>
      <w:r>
        <w:rPr>
          <w:rFonts w:ascii="Times New Roman;Times;serif" w:hAnsi="Times New Roman;Times;serif"/>
          <w:sz w:val="20"/>
        </w:rPr>
        <w:t>– Kronos’ selling, general and administrative expense increased $2.0 million, or 3%, in the first quarter of 2026 compared to the first quarter of 2025 as the negative impact of currency exchange rates exceeded the benefits of lower costs during the quarter. Excluding the effects of currency exchange rates, Kronos realized lower selling, general and administrative expenses as a result of its (i) realization of cost savings as a result of the fourth quarter of 2025 restructuring, (ii)  lower warehousing costs due to lower average finished products inventory volumes and (iii) non-recurring distribution costs incurred in the first quarter of 2025 associated with tariff mitigation strategies. Selling, general and administrative expense as a percentage of net sales decreased to</w:t>
      </w:r>
      <w:r>
        <w:rPr>
          <w:rFonts w:ascii="Times New Roman;Times;serif" w:hAnsi="Times New Roman;Times;serif"/>
          <w:sz w:val="20"/>
          <w:shd w:fill="FFFFFF" w:val="clear"/>
        </w:rPr>
        <w:t xml:space="preserve"> 12% in the </w:t>
      </w:r>
      <w:r>
        <w:rPr>
          <w:rFonts w:ascii="Times New Roman;Times;serif" w:hAnsi="Times New Roman;Times;serif"/>
          <w:sz w:val="20"/>
        </w:rPr>
        <w:t>first</w:t>
      </w:r>
      <w:r>
        <w:rPr>
          <w:rFonts w:ascii="Times New Roman;Times;serif" w:hAnsi="Times New Roman;Times;serif"/>
          <w:sz w:val="20"/>
          <w:shd w:fill="FFFFFF" w:val="clear"/>
        </w:rPr>
        <w:t xml:space="preserve"> quarter of 2026 compared to 13% in the first quarter of 2025 due to the effects of higher sales.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i/>
          <w:sz w:val="20"/>
        </w:rPr>
        <w:t>Income (loss) from operations </w:t>
      </w:r>
      <w:r>
        <w:rPr>
          <w:rFonts w:ascii="Times New Roman;Times;serif" w:hAnsi="Times New Roman;Times;serif"/>
          <w:sz w:val="20"/>
        </w:rPr>
        <w:t>– Kronos’ income from operations decreased by $25.8 million to $12.6 million in the first quarter of 2026 compared to $38.4 million in the first quarter of 2025, primarily as a result of the factors impacting gross margin discussed above. Kronos estimates that changes in currency exchange rates decreased its income from operations by approximately $6 million in the first quarter of 2026 compared to the same period in 2025, as discussed in the effects of currency exchange rates section below.</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i/>
          <w:sz w:val="20"/>
        </w:rPr>
        <w:t>Other non-operating income (expense) </w:t>
      </w:r>
      <w:r>
        <w:rPr>
          <w:rFonts w:ascii="Times New Roman;Times;serif" w:hAnsi="Times New Roman;Times;serif"/>
          <w:sz w:val="20"/>
        </w:rPr>
        <w:t>– Kronos’ interest expense in the first quarter of 2026 increased $2.7 million compared to the first quarter of 2025 primarily due to higher average debt balances and higher interest rates. Kronos recognized an unrealized gain of $.3 million in the first quarter of 2026 related to the change in marketable equity securities compared to an unrealized loss of $1.0 million in the same period of 2025.</w:t>
      </w:r>
    </w:p>
    <w:p>
      <w:pPr>
        <w:pStyle w:val="TextBody"/>
        <w:bidi w:val="0"/>
        <w:spacing w:before="0" w:after="160"/>
        <w:ind w:left="0" w:right="0" w:firstLine="720"/>
        <w:jc w:val="both"/>
        <w:rPr>
          <w:rFonts w:ascii="Times New Roman;Times;serif" w:hAnsi="Times New Roman;Times;serif"/>
          <w:sz w:val="20"/>
        </w:rPr>
      </w:pPr>
      <w:r>
        <w:rPr>
          <w:rFonts w:ascii="Times New Roman;Times;serif" w:hAnsi="Times New Roman;Times;serif"/>
          <w:i/>
          <w:sz w:val="20"/>
        </w:rPr>
        <w:t>Income tax expense </w:t>
      </w:r>
      <w:r>
        <w:rPr>
          <w:rFonts w:ascii="Times New Roman;Times;serif" w:hAnsi="Times New Roman;Times;serif"/>
          <w:sz w:val="20"/>
        </w:rPr>
        <w:t xml:space="preserve">– Kronos recognized income tax expense of $2.8 million in the first quarter of 2026 compared to income tax expense of $7.6 million in the first quarter of 2025. The decrease is primarily due to lower earnings in the first quarter of 2026 and the jurisdictional mix of such earnings somewhat offset by a net uncertain tax position of $2.0 million recognized in the first quarter of 2026. Kronos’ earnings and losses are subject to income tax in various U.S. and non-U.S. jurisdictions, and the income tax rates applicable to the pre-tax earnings (losses) of its non-U.S. operations are generally higher than the income tax rates applicable to its U.S. operations. Kronos would generally expect its overall effective tax rate, excluding the effect of any increase or decrease in its deferred income tax asset valuation allowance, changes in its reserve for uncertain tax positions, or tax rate changes to be higher than the U.S. federal statutory tax rate of 21% primarily because of its sizeable non-U.S. operations. </w:t>
      </w:r>
    </w:p>
    <w:p>
      <w:pPr>
        <w:pStyle w:val="TextBody"/>
        <w:bidi w:val="0"/>
        <w:spacing w:before="240" w:after="240"/>
        <w:ind w:left="0" w:right="0" w:hanging="0"/>
        <w:jc w:val="left"/>
        <w:rPr>
          <w:rFonts w:ascii="Times New Roman;Times;serif" w:hAnsi="Times New Roman;Times;serif"/>
          <w:b/>
          <w:sz w:val="20"/>
        </w:rPr>
      </w:pPr>
      <w:r>
        <w:rPr>
          <w:rFonts w:ascii="Times New Roman;Times;serif" w:hAnsi="Times New Roman;Times;serif"/>
          <w:b/>
          <w:sz w:val="20"/>
        </w:rPr>
        <w:t>Effects of currency exchange rates</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 xml:space="preserve">Kronos has substantial operations and assets located outside the United States (primarily in Germany, Belgium, Norway and Canada). The majority of Kronos’ sales from non-U.S. operations are denominated in currencies other than the U.S. dollar, principally </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26</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euro, other major European currencies and the Canadian dollar. A portion of Kronos’ sales generated from its non-U.S. operations is denominated in the U.S. dollar (and consequently Kronos’ non-U.S. operations will generally hold U.S. dollars from time to time). Certain raw materials used in all Kronos production facilities, primarily titanium-containing feedstocks, are purchased primarily in U.S. dollars, while labor and other production and administrative costs are incurred primarily in local currencies. Consequently, the translated U.S. dollar value of Kronos’ non-U.S. sales and operating results are subject to currency exchange rate fluctuations which may favorably or unfavorably impact reported earnings and may affect the comparability of period-to-period operating results. In addition to the impact of the translation of sales and expenses over time, Kronos’ non-U.S. operations also generate currency transaction gains and losses which primarily relate to (i) the difference between the currency exchange rates in effect when non-local currency sales or operating costs (primarily U.S. dollar denominated) are initially accrued and when such amounts are settled with the non-local currency, (ii) changes in currency exchange rates during time periods when Kronos’ non-U.S. operations are holding non-local currency (primarily U.S. dollars), and (iii) relative changes in the aggregate fair value of currency forward contracts held from time to time. Kronos periodically uses currency forward contracts to manage a portion of its currency exchange risk, and relative changes in the aggregate fair value of any currency forward contracts it holds from time to time serves in part to mitigate the currency transaction gains or losses it would recognize from the first two items described above.</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Fluctuations in currency exchange rates had the following effects on Kronos’ sales and income from operations for the periods indicated.</w:t>
      </w:r>
    </w:p>
    <w:tbl>
      <w:tblPr>
        <w:tblW w:w="8465" w:type="dxa"/>
        <w:jc w:val="left"/>
        <w:tblInd w:w="0" w:type="dxa"/>
        <w:tblLayout w:type="fixed"/>
        <w:tblCellMar>
          <w:top w:w="0" w:type="dxa"/>
          <w:left w:w="0" w:type="dxa"/>
          <w:bottom w:w="0" w:type="dxa"/>
          <w:right w:w="0" w:type="dxa"/>
        </w:tblCellMar>
      </w:tblPr>
      <w:tblGrid>
        <w:gridCol w:w="2041"/>
        <w:gridCol w:w="346"/>
        <w:gridCol w:w="247"/>
        <w:gridCol w:w="379"/>
        <w:gridCol w:w="379"/>
        <w:gridCol w:w="247"/>
        <w:gridCol w:w="379"/>
        <w:gridCol w:w="379"/>
        <w:gridCol w:w="296"/>
        <w:gridCol w:w="455"/>
        <w:gridCol w:w="346"/>
        <w:gridCol w:w="500"/>
        <w:gridCol w:w="700"/>
        <w:gridCol w:w="346"/>
        <w:gridCol w:w="547"/>
        <w:gridCol w:w="878"/>
      </w:tblGrid>
      <w:tr>
        <w:trPr/>
        <w:tc>
          <w:tcPr>
            <w:tcW w:w="20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2">
                      <wp:simplePos x="0" y="0"/>
                      <wp:positionH relativeFrom="character">
                        <wp:align>left</wp:align>
                      </wp:positionH>
                      <wp:positionV relativeFrom="line">
                        <wp:posOffset>635</wp:posOffset>
                      </wp:positionV>
                      <wp:extent cx="1296035" cy="175260"/>
                      <wp:effectExtent l="0" t="0" r="0" b="0"/>
                      <wp:wrapNone/>
                      <wp:docPr id="231" name="Frame231"/>
                      <a:graphic xmlns:a="http://schemas.openxmlformats.org/drawingml/2006/main">
                        <a:graphicData uri="http://schemas.microsoft.com/office/word/2010/wordprocessingShape">
                          <wps:wsp>
                            <wps:cNvSpPr txBox="1"/>
                            <wps:spPr>
                              <a:xfrm>
                                <a:off x="0" y="0"/>
                                <a:ext cx="12960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2.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3">
                      <wp:simplePos x="0" y="0"/>
                      <wp:positionH relativeFrom="character">
                        <wp:align>left</wp:align>
                      </wp:positionH>
                      <wp:positionV relativeFrom="line">
                        <wp:posOffset>635</wp:posOffset>
                      </wp:positionV>
                      <wp:extent cx="219710" cy="175260"/>
                      <wp:effectExtent l="0" t="0" r="0" b="0"/>
                      <wp:wrapNone/>
                      <wp:docPr id="232" name="Frame232"/>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4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4">
                      <wp:simplePos x="0" y="0"/>
                      <wp:positionH relativeFrom="character">
                        <wp:align>left</wp:align>
                      </wp:positionH>
                      <wp:positionV relativeFrom="line">
                        <wp:posOffset>635</wp:posOffset>
                      </wp:positionV>
                      <wp:extent cx="156845" cy="175260"/>
                      <wp:effectExtent l="0" t="0" r="0" b="0"/>
                      <wp:wrapNone/>
                      <wp:docPr id="233" name="Frame233"/>
                      <a:graphic xmlns:a="http://schemas.openxmlformats.org/drawingml/2006/main">
                        <a:graphicData uri="http://schemas.microsoft.com/office/word/2010/wordprocessingShape">
                          <wps:wsp>
                            <wps:cNvSpPr txBox="1"/>
                            <wps:spPr>
                              <a:xfrm>
                                <a:off x="0" y="0"/>
                                <a:ext cx="15684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7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5">
                      <wp:simplePos x="0" y="0"/>
                      <wp:positionH relativeFrom="character">
                        <wp:align>left</wp:align>
                      </wp:positionH>
                      <wp:positionV relativeFrom="line">
                        <wp:posOffset>635</wp:posOffset>
                      </wp:positionV>
                      <wp:extent cx="240665" cy="175260"/>
                      <wp:effectExtent l="0" t="0" r="0" b="0"/>
                      <wp:wrapNone/>
                      <wp:docPr id="234" name="Frame234"/>
                      <a:graphic xmlns:a="http://schemas.openxmlformats.org/drawingml/2006/main">
                        <a:graphicData uri="http://schemas.microsoft.com/office/word/2010/wordprocessingShape">
                          <wps:wsp>
                            <wps:cNvSpPr txBox="1"/>
                            <wps:spPr>
                              <a:xfrm>
                                <a:off x="0" y="0"/>
                                <a:ext cx="24066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7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6">
                      <wp:simplePos x="0" y="0"/>
                      <wp:positionH relativeFrom="character">
                        <wp:align>left</wp:align>
                      </wp:positionH>
                      <wp:positionV relativeFrom="line">
                        <wp:posOffset>635</wp:posOffset>
                      </wp:positionV>
                      <wp:extent cx="240665" cy="175260"/>
                      <wp:effectExtent l="0" t="0" r="0" b="0"/>
                      <wp:wrapNone/>
                      <wp:docPr id="235" name="Frame235"/>
                      <a:graphic xmlns:a="http://schemas.openxmlformats.org/drawingml/2006/main">
                        <a:graphicData uri="http://schemas.microsoft.com/office/word/2010/wordprocessingShape">
                          <wps:wsp>
                            <wps:cNvSpPr txBox="1"/>
                            <wps:spPr>
                              <a:xfrm>
                                <a:off x="0" y="0"/>
                                <a:ext cx="24066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4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7">
                      <wp:simplePos x="0" y="0"/>
                      <wp:positionH relativeFrom="character">
                        <wp:align>left</wp:align>
                      </wp:positionH>
                      <wp:positionV relativeFrom="line">
                        <wp:posOffset>635</wp:posOffset>
                      </wp:positionV>
                      <wp:extent cx="156845" cy="175260"/>
                      <wp:effectExtent l="0" t="0" r="0" b="0"/>
                      <wp:wrapNone/>
                      <wp:docPr id="236" name="Frame236"/>
                      <a:graphic xmlns:a="http://schemas.openxmlformats.org/drawingml/2006/main">
                        <a:graphicData uri="http://schemas.microsoft.com/office/word/2010/wordprocessingShape">
                          <wps:wsp>
                            <wps:cNvSpPr txBox="1"/>
                            <wps:spPr>
                              <a:xfrm>
                                <a:off x="0" y="0"/>
                                <a:ext cx="15684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7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8">
                      <wp:simplePos x="0" y="0"/>
                      <wp:positionH relativeFrom="character">
                        <wp:align>left</wp:align>
                      </wp:positionH>
                      <wp:positionV relativeFrom="line">
                        <wp:posOffset>635</wp:posOffset>
                      </wp:positionV>
                      <wp:extent cx="240665" cy="175260"/>
                      <wp:effectExtent l="0" t="0" r="0" b="0"/>
                      <wp:wrapNone/>
                      <wp:docPr id="237" name="Frame237"/>
                      <a:graphic xmlns:a="http://schemas.openxmlformats.org/drawingml/2006/main">
                        <a:graphicData uri="http://schemas.microsoft.com/office/word/2010/wordprocessingShape">
                          <wps:wsp>
                            <wps:cNvSpPr txBox="1"/>
                            <wps:spPr>
                              <a:xfrm>
                                <a:off x="0" y="0"/>
                                <a:ext cx="24066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7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9">
                      <wp:simplePos x="0" y="0"/>
                      <wp:positionH relativeFrom="character">
                        <wp:align>left</wp:align>
                      </wp:positionH>
                      <wp:positionV relativeFrom="line">
                        <wp:posOffset>635</wp:posOffset>
                      </wp:positionV>
                      <wp:extent cx="240665" cy="175260"/>
                      <wp:effectExtent l="0" t="0" r="0" b="0"/>
                      <wp:wrapNone/>
                      <wp:docPr id="238" name="Frame238"/>
                      <a:graphic xmlns:a="http://schemas.openxmlformats.org/drawingml/2006/main">
                        <a:graphicData uri="http://schemas.microsoft.com/office/word/2010/wordprocessingShape">
                          <wps:wsp>
                            <wps:cNvSpPr txBox="1"/>
                            <wps:spPr>
                              <a:xfrm>
                                <a:off x="0" y="0"/>
                                <a:ext cx="24066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0">
                      <wp:simplePos x="0" y="0"/>
                      <wp:positionH relativeFrom="character">
                        <wp:align>left</wp:align>
                      </wp:positionH>
                      <wp:positionV relativeFrom="line">
                        <wp:posOffset>635</wp:posOffset>
                      </wp:positionV>
                      <wp:extent cx="187960" cy="175260"/>
                      <wp:effectExtent l="0" t="0" r="0" b="0"/>
                      <wp:wrapNone/>
                      <wp:docPr id="239" name="Frame239"/>
                      <a:graphic xmlns:a="http://schemas.openxmlformats.org/drawingml/2006/main">
                        <a:graphicData uri="http://schemas.microsoft.com/office/word/2010/wordprocessingShape">
                          <wps:wsp>
                            <wps:cNvSpPr txBox="1"/>
                            <wps:spPr>
                              <a:xfrm>
                                <a:off x="0" y="0"/>
                                <a:ext cx="1879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45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1">
                      <wp:simplePos x="0" y="0"/>
                      <wp:positionH relativeFrom="character">
                        <wp:align>left</wp:align>
                      </wp:positionH>
                      <wp:positionV relativeFrom="line">
                        <wp:posOffset>635</wp:posOffset>
                      </wp:positionV>
                      <wp:extent cx="288925" cy="175260"/>
                      <wp:effectExtent l="0" t="0" r="0" b="0"/>
                      <wp:wrapNone/>
                      <wp:docPr id="240" name="Frame240"/>
                      <a:graphic xmlns:a="http://schemas.openxmlformats.org/drawingml/2006/main">
                        <a:graphicData uri="http://schemas.microsoft.com/office/word/2010/wordprocessingShape">
                          <wps:wsp>
                            <wps:cNvSpPr txBox="1"/>
                            <wps:spPr>
                              <a:xfrm>
                                <a:off x="0" y="0"/>
                                <a:ext cx="28892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2.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2">
                      <wp:simplePos x="0" y="0"/>
                      <wp:positionH relativeFrom="character">
                        <wp:align>left</wp:align>
                      </wp:positionH>
                      <wp:positionV relativeFrom="line">
                        <wp:posOffset>635</wp:posOffset>
                      </wp:positionV>
                      <wp:extent cx="219710" cy="175260"/>
                      <wp:effectExtent l="0" t="0" r="0" b="0"/>
                      <wp:wrapNone/>
                      <wp:docPr id="241" name="Frame241"/>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50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3">
                      <wp:simplePos x="0" y="0"/>
                      <wp:positionH relativeFrom="character">
                        <wp:align>left</wp:align>
                      </wp:positionH>
                      <wp:positionV relativeFrom="line">
                        <wp:posOffset>635</wp:posOffset>
                      </wp:positionV>
                      <wp:extent cx="317500" cy="175260"/>
                      <wp:effectExtent l="0" t="0" r="0" b="0"/>
                      <wp:wrapNone/>
                      <wp:docPr id="242" name="Frame242"/>
                      <a:graphic xmlns:a="http://schemas.openxmlformats.org/drawingml/2006/main">
                        <a:graphicData uri="http://schemas.microsoft.com/office/word/2010/wordprocessingShape">
                          <wps:wsp>
                            <wps:cNvSpPr txBox="1"/>
                            <wps:spPr>
                              <a:xfrm>
                                <a:off x="0" y="0"/>
                                <a:ext cx="31750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0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4">
                      <wp:simplePos x="0" y="0"/>
                      <wp:positionH relativeFrom="character">
                        <wp:align>left</wp:align>
                      </wp:positionH>
                      <wp:positionV relativeFrom="line">
                        <wp:posOffset>635</wp:posOffset>
                      </wp:positionV>
                      <wp:extent cx="444500" cy="175260"/>
                      <wp:effectExtent l="0" t="0" r="0" b="0"/>
                      <wp:wrapNone/>
                      <wp:docPr id="243" name="Frame243"/>
                      <a:graphic xmlns:a="http://schemas.openxmlformats.org/drawingml/2006/main">
                        <a:graphicData uri="http://schemas.microsoft.com/office/word/2010/wordprocessingShape">
                          <wps:wsp>
                            <wps:cNvSpPr txBox="1"/>
                            <wps:spPr>
                              <a:xfrm>
                                <a:off x="0" y="0"/>
                                <a:ext cx="44450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5">
                      <wp:simplePos x="0" y="0"/>
                      <wp:positionH relativeFrom="character">
                        <wp:align>left</wp:align>
                      </wp:positionH>
                      <wp:positionV relativeFrom="line">
                        <wp:posOffset>635</wp:posOffset>
                      </wp:positionV>
                      <wp:extent cx="219710" cy="175260"/>
                      <wp:effectExtent l="0" t="0" r="0" b="0"/>
                      <wp:wrapNone/>
                      <wp:docPr id="244" name="Frame244"/>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54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6">
                      <wp:simplePos x="0" y="0"/>
                      <wp:positionH relativeFrom="character">
                        <wp:align>left</wp:align>
                      </wp:positionH>
                      <wp:positionV relativeFrom="line">
                        <wp:posOffset>635</wp:posOffset>
                      </wp:positionV>
                      <wp:extent cx="347345" cy="175260"/>
                      <wp:effectExtent l="0" t="0" r="0" b="0"/>
                      <wp:wrapNone/>
                      <wp:docPr id="245" name="Frame245"/>
                      <a:graphic xmlns:a="http://schemas.openxmlformats.org/drawingml/2006/main">
                        <a:graphicData uri="http://schemas.microsoft.com/office/word/2010/wordprocessingShape">
                          <wps:wsp>
                            <wps:cNvSpPr txBox="1"/>
                            <wps:spPr>
                              <a:xfrm>
                                <a:off x="0" y="0"/>
                                <a:ext cx="34734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7.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7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7">
                      <wp:simplePos x="0" y="0"/>
                      <wp:positionH relativeFrom="character">
                        <wp:align>left</wp:align>
                      </wp:positionH>
                      <wp:positionV relativeFrom="line">
                        <wp:posOffset>635</wp:posOffset>
                      </wp:positionV>
                      <wp:extent cx="557530" cy="175260"/>
                      <wp:effectExtent l="0" t="0" r="0" b="0"/>
                      <wp:wrapNone/>
                      <wp:docPr id="246" name="Frame246"/>
                      <a:graphic xmlns:a="http://schemas.openxmlformats.org/drawingml/2006/main">
                        <a:graphicData uri="http://schemas.microsoft.com/office/word/2010/wordprocessingShape">
                          <wps:wsp>
                            <wps:cNvSpPr txBox="1"/>
                            <wps:spPr>
                              <a:xfrm>
                                <a:off x="0" y="0"/>
                                <a:ext cx="55753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3.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8465" w:type="dxa"/>
            <w:gridSpan w:val="16"/>
            <w:tcBorders/>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Impact of changes in currency exchange rates</w:t>
            </w:r>
          </w:p>
        </w:tc>
      </w:tr>
      <w:tr>
        <w:trPr/>
        <w:tc>
          <w:tcPr>
            <w:tcW w:w="8465" w:type="dxa"/>
            <w:gridSpan w:val="16"/>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Three months ended March 31, 2026 vs March 31, 2025</w:t>
            </w:r>
          </w:p>
        </w:tc>
      </w:tr>
      <w:tr>
        <w:trPr/>
        <w:tc>
          <w:tcPr>
            <w:tcW w:w="204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w:t>
            </w:r>
          </w:p>
        </w:tc>
        <w:tc>
          <w:tcPr>
            <w:tcW w:w="247" w:type="dxa"/>
            <w:tcBorders/>
            <w:vAlign w:val="center"/>
          </w:tcPr>
          <w:p>
            <w:pPr>
              <w:pStyle w:val="TableContents"/>
              <w:bidi w:val="0"/>
              <w:spacing w:before="0" w:after="1"/>
              <w:ind w:left="0" w:right="0" w:hanging="0"/>
              <w:jc w:val="center"/>
              <w:rPr/>
            </w:pPr>
            <w:r>
              <w:rPr/>
              <w:t>​</w:t>
            </w:r>
          </w:p>
        </w:tc>
        <w:tc>
          <w:tcPr>
            <w:tcW w:w="379" w:type="dxa"/>
            <w:tcBorders/>
            <w:vAlign w:val="center"/>
          </w:tcPr>
          <w:p>
            <w:pPr>
              <w:pStyle w:val="TableContents"/>
              <w:bidi w:val="0"/>
              <w:spacing w:before="0" w:after="1"/>
              <w:ind w:left="0" w:right="0" w:hanging="0"/>
              <w:jc w:val="center"/>
              <w:rPr/>
            </w:pPr>
            <w:r>
              <w:rPr/>
              <w:t>​</w:t>
            </w:r>
          </w:p>
        </w:tc>
        <w:tc>
          <w:tcPr>
            <w:tcW w:w="379" w:type="dxa"/>
            <w:tcBorders/>
            <w:vAlign w:val="center"/>
          </w:tcPr>
          <w:p>
            <w:pPr>
              <w:pStyle w:val="TableContents"/>
              <w:bidi w:val="0"/>
              <w:spacing w:before="0" w:after="1"/>
              <w:ind w:left="0" w:right="0" w:hanging="0"/>
              <w:jc w:val="center"/>
              <w:rPr/>
            </w:pPr>
            <w:r>
              <w:rPr/>
              <w:t>​</w:t>
            </w:r>
          </w:p>
        </w:tc>
        <w:tc>
          <w:tcPr>
            <w:tcW w:w="247" w:type="dxa"/>
            <w:tcBorders/>
            <w:vAlign w:val="center"/>
          </w:tcPr>
          <w:p>
            <w:pPr>
              <w:pStyle w:val="TableContents"/>
              <w:bidi w:val="0"/>
              <w:spacing w:before="0" w:after="1"/>
              <w:ind w:left="0" w:right="0" w:hanging="0"/>
              <w:jc w:val="center"/>
              <w:rPr/>
            </w:pPr>
            <w:r>
              <w:rPr/>
              <w:t>  ​</w:t>
            </w:r>
          </w:p>
        </w:tc>
        <w:tc>
          <w:tcPr>
            <w:tcW w:w="379" w:type="dxa"/>
            <w:tcBorders/>
            <w:vAlign w:val="center"/>
          </w:tcPr>
          <w:p>
            <w:pPr>
              <w:pStyle w:val="TableContents"/>
              <w:bidi w:val="0"/>
              <w:spacing w:before="0" w:after="1"/>
              <w:ind w:left="0" w:right="0" w:hanging="0"/>
              <w:jc w:val="center"/>
              <w:rPr/>
            </w:pPr>
            <w:r>
              <w:rPr/>
              <w:t>​</w:t>
            </w:r>
          </w:p>
        </w:tc>
        <w:tc>
          <w:tcPr>
            <w:tcW w:w="379" w:type="dxa"/>
            <w:tcBorders/>
            <w:vAlign w:val="center"/>
          </w:tcPr>
          <w:p>
            <w:pPr>
              <w:pStyle w:val="TableContents"/>
              <w:bidi w:val="0"/>
              <w:spacing w:before="0" w:after="1"/>
              <w:ind w:left="0" w:right="0" w:hanging="0"/>
              <w:jc w:val="center"/>
              <w:rPr/>
            </w:pPr>
            <w:r>
              <w:rPr/>
              <w:t>​</w:t>
            </w:r>
          </w:p>
        </w:tc>
        <w:tc>
          <w:tcPr>
            <w:tcW w:w="296" w:type="dxa"/>
            <w:tcBorders/>
            <w:vAlign w:val="center"/>
          </w:tcPr>
          <w:p>
            <w:pPr>
              <w:pStyle w:val="TableContents"/>
              <w:bidi w:val="0"/>
              <w:spacing w:before="0" w:after="1"/>
              <w:ind w:left="0" w:right="0" w:hanging="0"/>
              <w:jc w:val="center"/>
              <w:rPr/>
            </w:pPr>
            <w:r>
              <w:rPr/>
              <w:t>  ​</w:t>
            </w:r>
          </w:p>
        </w:tc>
        <w:tc>
          <w:tcPr>
            <w:tcW w:w="455"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center"/>
              <w:rPr/>
            </w:pPr>
            <w:r>
              <w:rPr/>
              <w:t>​</w:t>
            </w:r>
          </w:p>
        </w:tc>
        <w:tc>
          <w:tcPr>
            <w:tcW w:w="1200" w:type="dxa"/>
            <w:gridSpan w:val="2"/>
            <w:tcBorders/>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Translation</w:t>
            </w:r>
          </w:p>
        </w:tc>
        <w:tc>
          <w:tcPr>
            <w:tcW w:w="346" w:type="dxa"/>
            <w:tcBorders/>
            <w:vAlign w:val="center"/>
          </w:tcPr>
          <w:p>
            <w:pPr>
              <w:pStyle w:val="TableContents"/>
              <w:bidi w:val="0"/>
              <w:spacing w:before="0" w:after="1"/>
              <w:ind w:left="0" w:right="0" w:hanging="0"/>
              <w:jc w:val="center"/>
              <w:rPr/>
            </w:pPr>
            <w:r>
              <w:rPr/>
              <w:t>​</w:t>
            </w:r>
          </w:p>
        </w:tc>
        <w:tc>
          <w:tcPr>
            <w:tcW w:w="547" w:type="dxa"/>
            <w:tcBorders/>
            <w:vAlign w:val="center"/>
          </w:tcPr>
          <w:p>
            <w:pPr>
              <w:pStyle w:val="TableContents"/>
              <w:bidi w:val="0"/>
              <w:spacing w:before="0" w:after="1"/>
              <w:ind w:left="0" w:right="0" w:hanging="0"/>
              <w:jc w:val="center"/>
              <w:rPr/>
            </w:pPr>
            <w:r>
              <w:rPr/>
              <w:t>  ​</w:t>
            </w:r>
          </w:p>
        </w:tc>
        <w:tc>
          <w:tcPr>
            <w:tcW w:w="878" w:type="dxa"/>
            <w:tcBorders/>
            <w:vAlign w:val="center"/>
          </w:tcPr>
          <w:p>
            <w:pPr>
              <w:pStyle w:val="TableContents"/>
              <w:bidi w:val="0"/>
              <w:spacing w:before="0" w:after="1"/>
              <w:ind w:left="0" w:right="0" w:hanging="0"/>
              <w:jc w:val="center"/>
              <w:rPr/>
            </w:pPr>
            <w:r>
              <w:rPr/>
              <w:t>​</w:t>
            </w:r>
          </w:p>
        </w:tc>
      </w:tr>
      <w:tr>
        <w:trPr/>
        <w:tc>
          <w:tcPr>
            <w:tcW w:w="204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w:t>
            </w:r>
          </w:p>
        </w:tc>
        <w:tc>
          <w:tcPr>
            <w:tcW w:w="247" w:type="dxa"/>
            <w:tcBorders/>
            <w:vAlign w:val="center"/>
          </w:tcPr>
          <w:p>
            <w:pPr>
              <w:pStyle w:val="TableContents"/>
              <w:bidi w:val="0"/>
              <w:spacing w:before="0" w:after="1"/>
              <w:ind w:left="0" w:right="0" w:hanging="0"/>
              <w:jc w:val="center"/>
              <w:rPr/>
            </w:pPr>
            <w:r>
              <w:rPr/>
              <w:t>​</w:t>
            </w:r>
          </w:p>
        </w:tc>
        <w:tc>
          <w:tcPr>
            <w:tcW w:w="379" w:type="dxa"/>
            <w:tcBorders/>
            <w:vAlign w:val="center"/>
          </w:tcPr>
          <w:p>
            <w:pPr>
              <w:pStyle w:val="TableContents"/>
              <w:bidi w:val="0"/>
              <w:spacing w:before="0" w:after="1"/>
              <w:ind w:left="0" w:right="0" w:hanging="0"/>
              <w:jc w:val="center"/>
              <w:rPr/>
            </w:pPr>
            <w:r>
              <w:rPr/>
              <w:t>​</w:t>
            </w:r>
          </w:p>
        </w:tc>
        <w:tc>
          <w:tcPr>
            <w:tcW w:w="379" w:type="dxa"/>
            <w:tcBorders/>
            <w:vAlign w:val="center"/>
          </w:tcPr>
          <w:p>
            <w:pPr>
              <w:pStyle w:val="TableContents"/>
              <w:bidi w:val="0"/>
              <w:spacing w:before="0" w:after="1"/>
              <w:ind w:left="0" w:right="0" w:hanging="0"/>
              <w:jc w:val="center"/>
              <w:rPr/>
            </w:pPr>
            <w:r>
              <w:rPr/>
              <w:t>​</w:t>
            </w:r>
          </w:p>
        </w:tc>
        <w:tc>
          <w:tcPr>
            <w:tcW w:w="247" w:type="dxa"/>
            <w:tcBorders/>
            <w:vAlign w:val="center"/>
          </w:tcPr>
          <w:p>
            <w:pPr>
              <w:pStyle w:val="TableContents"/>
              <w:bidi w:val="0"/>
              <w:spacing w:before="0" w:after="1"/>
              <w:ind w:left="0" w:right="0" w:hanging="0"/>
              <w:jc w:val="center"/>
              <w:rPr/>
            </w:pPr>
            <w:r>
              <w:rPr/>
              <w:t>​</w:t>
            </w:r>
          </w:p>
        </w:tc>
        <w:tc>
          <w:tcPr>
            <w:tcW w:w="379" w:type="dxa"/>
            <w:tcBorders/>
            <w:vAlign w:val="center"/>
          </w:tcPr>
          <w:p>
            <w:pPr>
              <w:pStyle w:val="TableContents"/>
              <w:bidi w:val="0"/>
              <w:spacing w:before="0" w:after="1"/>
              <w:ind w:left="0" w:right="0" w:hanging="0"/>
              <w:jc w:val="center"/>
              <w:rPr/>
            </w:pPr>
            <w:r>
              <w:rPr/>
              <w:t>​</w:t>
            </w:r>
          </w:p>
        </w:tc>
        <w:tc>
          <w:tcPr>
            <w:tcW w:w="379" w:type="dxa"/>
            <w:tcBorders/>
            <w:vAlign w:val="center"/>
          </w:tcPr>
          <w:p>
            <w:pPr>
              <w:pStyle w:val="TableContents"/>
              <w:bidi w:val="0"/>
              <w:spacing w:before="0" w:after="1"/>
              <w:ind w:left="0" w:right="0" w:hanging="0"/>
              <w:jc w:val="center"/>
              <w:rPr/>
            </w:pPr>
            <w:r>
              <w:rPr/>
              <w:t>​</w:t>
            </w:r>
          </w:p>
        </w:tc>
        <w:tc>
          <w:tcPr>
            <w:tcW w:w="296" w:type="dxa"/>
            <w:tcBorders/>
            <w:vAlign w:val="center"/>
          </w:tcPr>
          <w:p>
            <w:pPr>
              <w:pStyle w:val="TableContents"/>
              <w:bidi w:val="0"/>
              <w:spacing w:before="0" w:after="1"/>
              <w:ind w:left="0" w:right="0" w:hanging="0"/>
              <w:jc w:val="center"/>
              <w:rPr/>
            </w:pPr>
            <w:r>
              <w:rPr/>
              <w:t>​</w:t>
            </w:r>
          </w:p>
        </w:tc>
        <w:tc>
          <w:tcPr>
            <w:tcW w:w="455"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center"/>
              <w:rPr/>
            </w:pPr>
            <w:r>
              <w:rPr/>
              <w:t>​</w:t>
            </w:r>
          </w:p>
        </w:tc>
        <w:tc>
          <w:tcPr>
            <w:tcW w:w="1200" w:type="dxa"/>
            <w:gridSpan w:val="2"/>
            <w:tcBorders/>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gains (losses)</w:t>
            </w:r>
          </w:p>
        </w:tc>
        <w:tc>
          <w:tcPr>
            <w:tcW w:w="346" w:type="dxa"/>
            <w:tcBorders/>
            <w:vAlign w:val="center"/>
          </w:tcPr>
          <w:p>
            <w:pPr>
              <w:pStyle w:val="TableContents"/>
              <w:bidi w:val="0"/>
              <w:spacing w:before="0" w:after="1"/>
              <w:ind w:left="0" w:right="0" w:hanging="0"/>
              <w:jc w:val="center"/>
              <w:rPr/>
            </w:pPr>
            <w:r>
              <w:rPr/>
              <w:t>​</w:t>
            </w:r>
          </w:p>
        </w:tc>
        <w:tc>
          <w:tcPr>
            <w:tcW w:w="1425" w:type="dxa"/>
            <w:gridSpan w:val="2"/>
            <w:tcBorders/>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Total currency</w:t>
            </w:r>
          </w:p>
        </w:tc>
      </w:tr>
      <w:tr>
        <w:trPr/>
        <w:tc>
          <w:tcPr>
            <w:tcW w:w="204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w:t>
            </w:r>
          </w:p>
        </w:tc>
        <w:tc>
          <w:tcPr>
            <w:tcW w:w="2761" w:type="dxa"/>
            <w:gridSpan w:val="8"/>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Transaction losses recognized</w:t>
            </w:r>
          </w:p>
        </w:tc>
        <w:tc>
          <w:tcPr>
            <w:tcW w:w="346" w:type="dxa"/>
            <w:tcBorders/>
            <w:vAlign w:val="center"/>
          </w:tcPr>
          <w:p>
            <w:pPr>
              <w:pStyle w:val="TableContents"/>
              <w:bidi w:val="0"/>
              <w:spacing w:before="0" w:after="1"/>
              <w:ind w:left="0" w:right="0" w:hanging="0"/>
              <w:jc w:val="center"/>
              <w:rPr/>
            </w:pPr>
            <w:r>
              <w:rPr/>
              <w:t>​</w:t>
            </w:r>
          </w:p>
        </w:tc>
        <w:tc>
          <w:tcPr>
            <w:tcW w:w="1200" w:type="dxa"/>
            <w:gridSpan w:val="2"/>
            <w:tcBorders/>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impact of</w:t>
            </w:r>
          </w:p>
        </w:tc>
        <w:tc>
          <w:tcPr>
            <w:tcW w:w="346" w:type="dxa"/>
            <w:tcBorders/>
            <w:vAlign w:val="center"/>
          </w:tcPr>
          <w:p>
            <w:pPr>
              <w:pStyle w:val="TableContents"/>
              <w:bidi w:val="0"/>
              <w:spacing w:before="0" w:after="1"/>
              <w:ind w:left="0" w:right="0" w:hanging="0"/>
              <w:jc w:val="center"/>
              <w:rPr/>
            </w:pPr>
            <w:r>
              <w:rPr/>
              <w:t>​</w:t>
            </w:r>
          </w:p>
        </w:tc>
        <w:tc>
          <w:tcPr>
            <w:tcW w:w="1425" w:type="dxa"/>
            <w:gridSpan w:val="2"/>
            <w:tcBorders/>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impact</w:t>
            </w:r>
          </w:p>
        </w:tc>
      </w:tr>
      <w:tr>
        <w:trPr/>
        <w:tc>
          <w:tcPr>
            <w:tcW w:w="204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  ​ ​ ​</w:t>
            </w:r>
          </w:p>
        </w:tc>
        <w:tc>
          <w:tcPr>
            <w:tcW w:w="626"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2025</w:t>
            </w:r>
          </w:p>
        </w:tc>
        <w:tc>
          <w:tcPr>
            <w:tcW w:w="379" w:type="dxa"/>
            <w:tcBorders/>
            <w:vAlign w:val="center"/>
          </w:tcPr>
          <w:p>
            <w:pPr>
              <w:pStyle w:val="TableContents"/>
              <w:bidi w:val="0"/>
              <w:spacing w:before="0" w:after="1"/>
              <w:ind w:left="0" w:right="0" w:hanging="0"/>
              <w:jc w:val="center"/>
              <w:rPr/>
            </w:pPr>
            <w:r>
              <w:rPr/>
              <w:t>  ​ ​ ​</w:t>
            </w:r>
          </w:p>
        </w:tc>
        <w:tc>
          <w:tcPr>
            <w:tcW w:w="626"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2026</w:t>
            </w:r>
          </w:p>
        </w:tc>
        <w:tc>
          <w:tcPr>
            <w:tcW w:w="379" w:type="dxa"/>
            <w:tcBorders/>
            <w:vAlign w:val="center"/>
          </w:tcPr>
          <w:p>
            <w:pPr>
              <w:pStyle w:val="TableContents"/>
              <w:bidi w:val="0"/>
              <w:spacing w:before="0" w:after="1"/>
              <w:ind w:left="0" w:right="0" w:hanging="0"/>
              <w:jc w:val="center"/>
              <w:rPr/>
            </w:pPr>
            <w:r>
              <w:rPr/>
              <w:t>  ​ ​ ​</w:t>
            </w:r>
          </w:p>
        </w:tc>
        <w:tc>
          <w:tcPr>
            <w:tcW w:w="751"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Change</w:t>
            </w:r>
          </w:p>
        </w:tc>
        <w:tc>
          <w:tcPr>
            <w:tcW w:w="346" w:type="dxa"/>
            <w:tcBorders/>
            <w:vAlign w:val="center"/>
          </w:tcPr>
          <w:p>
            <w:pPr>
              <w:pStyle w:val="TableContents"/>
              <w:bidi w:val="0"/>
              <w:spacing w:before="0" w:after="1"/>
              <w:ind w:left="0" w:right="0" w:hanging="0"/>
              <w:jc w:val="center"/>
              <w:rPr/>
            </w:pPr>
            <w:r>
              <w:rPr/>
              <w:t>  ​ ​ ​</w:t>
            </w:r>
          </w:p>
        </w:tc>
        <w:tc>
          <w:tcPr>
            <w:tcW w:w="1200"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rate changes</w:t>
            </w:r>
          </w:p>
        </w:tc>
        <w:tc>
          <w:tcPr>
            <w:tcW w:w="346" w:type="dxa"/>
            <w:tcBorders/>
            <w:vAlign w:val="center"/>
          </w:tcPr>
          <w:p>
            <w:pPr>
              <w:pStyle w:val="TableContents"/>
              <w:bidi w:val="0"/>
              <w:spacing w:before="0" w:after="1"/>
              <w:ind w:left="0" w:right="0" w:hanging="0"/>
              <w:jc w:val="center"/>
              <w:rPr/>
            </w:pPr>
            <w:r>
              <w:rPr/>
              <w:t>  ​ ​ ​</w:t>
            </w:r>
          </w:p>
        </w:tc>
        <w:tc>
          <w:tcPr>
            <w:tcW w:w="1425"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2026 vs 2025</w:t>
            </w:r>
          </w:p>
        </w:tc>
      </w:tr>
      <w:tr>
        <w:trPr/>
        <w:tc>
          <w:tcPr>
            <w:tcW w:w="8465" w:type="dxa"/>
            <w:gridSpan w:val="16"/>
            <w:tcBorders/>
            <w:vAlign w:val="center"/>
          </w:tcPr>
          <w:p>
            <w:pPr>
              <w:pStyle w:val="TableContents"/>
              <w:bidi w:val="0"/>
              <w:spacing w:before="0" w:after="283"/>
              <w:ind w:left="0" w:right="0" w:hanging="0"/>
              <w:jc w:val="left"/>
              <w:rPr>
                <w:sz w:val="4"/>
                <w:szCs w:val="4"/>
              </w:rPr>
            </w:pPr>
            <w:r>
              <w:rPr>
                <w:sz w:val="4"/>
                <w:szCs w:val="4"/>
              </w:rPr>
            </w:r>
          </w:p>
        </w:tc>
      </w:tr>
      <w:tr>
        <w:trPr/>
        <w:tc>
          <w:tcPr>
            <w:tcW w:w="204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w:t>
            </w:r>
          </w:p>
        </w:tc>
        <w:tc>
          <w:tcPr>
            <w:tcW w:w="6078" w:type="dxa"/>
            <w:gridSpan w:val="14"/>
            <w:tcBorders/>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(In millions)</w:t>
            </w:r>
          </w:p>
        </w:tc>
      </w:tr>
      <w:tr>
        <w:trPr/>
        <w:tc>
          <w:tcPr>
            <w:tcW w:w="2041" w:type="dxa"/>
            <w:tcBorders/>
            <w:shd w:fill="CCEEFF" w:val="cle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Impact on:</w:t>
            </w:r>
          </w:p>
        </w:tc>
        <w:tc>
          <w:tcPr>
            <w:tcW w:w="346" w:type="dxa"/>
            <w:tcBorders/>
            <w:shd w:fill="CCEEFF" w:val="clear"/>
            <w:vAlign w:val="center"/>
          </w:tcPr>
          <w:p>
            <w:pPr>
              <w:pStyle w:val="TableContents"/>
              <w:bidi w:val="0"/>
              <w:spacing w:before="0" w:after="1"/>
              <w:ind w:left="0" w:right="0" w:hanging="0"/>
              <w:jc w:val="center"/>
              <w:rPr/>
            </w:pPr>
            <w:r>
              <w:rPr/>
              <w:t>​</w:t>
            </w:r>
          </w:p>
        </w:tc>
        <w:tc>
          <w:tcPr>
            <w:tcW w:w="247" w:type="dxa"/>
            <w:tcBorders/>
            <w:shd w:fill="CCEEFF" w:val="clear"/>
            <w:vAlign w:val="center"/>
          </w:tcPr>
          <w:p>
            <w:pPr>
              <w:pStyle w:val="TableContents"/>
              <w:bidi w:val="0"/>
              <w:spacing w:before="0" w:after="1"/>
              <w:ind w:left="0" w:right="0" w:hanging="0"/>
              <w:jc w:val="center"/>
              <w:rPr/>
            </w:pPr>
            <w:r>
              <w:rPr/>
              <w:t>  ​</w:t>
            </w:r>
          </w:p>
        </w:tc>
        <w:tc>
          <w:tcPr>
            <w:tcW w:w="379" w:type="dxa"/>
            <w:tcBorders/>
            <w:shd w:fill="CCEEFF" w:val="clear"/>
            <w:vAlign w:val="center"/>
          </w:tcPr>
          <w:p>
            <w:pPr>
              <w:pStyle w:val="TableContents"/>
              <w:bidi w:val="0"/>
              <w:spacing w:before="0" w:after="1"/>
              <w:ind w:left="0" w:right="0" w:hanging="0"/>
              <w:jc w:val="center"/>
              <w:rPr/>
            </w:pPr>
            <w:r>
              <w:rPr/>
              <w:t>​</w:t>
            </w:r>
          </w:p>
        </w:tc>
        <w:tc>
          <w:tcPr>
            <w:tcW w:w="379" w:type="dxa"/>
            <w:tcBorders/>
            <w:shd w:fill="CCEEFF" w:val="clear"/>
            <w:vAlign w:val="center"/>
          </w:tcPr>
          <w:p>
            <w:pPr>
              <w:pStyle w:val="TableContents"/>
              <w:bidi w:val="0"/>
              <w:spacing w:before="0" w:after="1"/>
              <w:ind w:left="0" w:right="0" w:hanging="0"/>
              <w:jc w:val="center"/>
              <w:rPr/>
            </w:pPr>
            <w:r>
              <w:rPr/>
              <w:t>​</w:t>
            </w:r>
          </w:p>
        </w:tc>
        <w:tc>
          <w:tcPr>
            <w:tcW w:w="247" w:type="dxa"/>
            <w:tcBorders/>
            <w:shd w:fill="CCEEFF" w:val="clear"/>
            <w:vAlign w:val="center"/>
          </w:tcPr>
          <w:p>
            <w:pPr>
              <w:pStyle w:val="TableContents"/>
              <w:bidi w:val="0"/>
              <w:spacing w:before="0" w:after="1"/>
              <w:ind w:left="0" w:right="0" w:hanging="0"/>
              <w:jc w:val="center"/>
              <w:rPr/>
            </w:pPr>
            <w:r>
              <w:rPr/>
              <w:t>  ​</w:t>
            </w:r>
          </w:p>
        </w:tc>
        <w:tc>
          <w:tcPr>
            <w:tcW w:w="379" w:type="dxa"/>
            <w:tcBorders/>
            <w:shd w:fill="CCEEFF" w:val="clear"/>
            <w:vAlign w:val="center"/>
          </w:tcPr>
          <w:p>
            <w:pPr>
              <w:pStyle w:val="TableContents"/>
              <w:bidi w:val="0"/>
              <w:spacing w:before="0" w:after="1"/>
              <w:ind w:left="0" w:right="0" w:hanging="0"/>
              <w:jc w:val="center"/>
              <w:rPr/>
            </w:pPr>
            <w:r>
              <w:rPr/>
              <w:t>​</w:t>
            </w:r>
          </w:p>
        </w:tc>
        <w:tc>
          <w:tcPr>
            <w:tcW w:w="379" w:type="dxa"/>
            <w:tcBorders/>
            <w:shd w:fill="CCEEFF" w:val="clear"/>
            <w:vAlign w:val="center"/>
          </w:tcPr>
          <w:p>
            <w:pPr>
              <w:pStyle w:val="TableContents"/>
              <w:bidi w:val="0"/>
              <w:spacing w:before="0" w:after="1"/>
              <w:ind w:left="0" w:right="0" w:hanging="0"/>
              <w:jc w:val="center"/>
              <w:rPr/>
            </w:pPr>
            <w:r>
              <w:rPr/>
              <w:t>​</w:t>
            </w:r>
          </w:p>
        </w:tc>
        <w:tc>
          <w:tcPr>
            <w:tcW w:w="296" w:type="dxa"/>
            <w:tcBorders/>
            <w:shd w:fill="CCEEFF" w:val="clear"/>
            <w:vAlign w:val="center"/>
          </w:tcPr>
          <w:p>
            <w:pPr>
              <w:pStyle w:val="TableContents"/>
              <w:bidi w:val="0"/>
              <w:spacing w:before="0" w:after="1"/>
              <w:ind w:left="0" w:right="0" w:hanging="0"/>
              <w:jc w:val="center"/>
              <w:rPr/>
            </w:pPr>
            <w:r>
              <w:rPr/>
              <w:t>  ​</w:t>
            </w:r>
          </w:p>
        </w:tc>
        <w:tc>
          <w:tcPr>
            <w:tcW w:w="455" w:type="dxa"/>
            <w:tcBorders/>
            <w:shd w:fill="CCEEFF" w:val="clear"/>
            <w:vAlign w:val="center"/>
          </w:tcPr>
          <w:p>
            <w:pPr>
              <w:pStyle w:val="TableContents"/>
              <w:bidi w:val="0"/>
              <w:spacing w:before="0" w:after="1"/>
              <w:ind w:left="0" w:right="0" w:hanging="0"/>
              <w:jc w:val="center"/>
              <w:rPr/>
            </w:pPr>
            <w:r>
              <w:rPr/>
              <w:t>​</w:t>
            </w:r>
          </w:p>
        </w:tc>
        <w:tc>
          <w:tcPr>
            <w:tcW w:w="346" w:type="dxa"/>
            <w:tcBorders/>
            <w:shd w:fill="CCEEFF" w:val="clear"/>
            <w:vAlign w:val="center"/>
          </w:tcPr>
          <w:p>
            <w:pPr>
              <w:pStyle w:val="TableContents"/>
              <w:bidi w:val="0"/>
              <w:spacing w:before="0" w:after="1"/>
              <w:ind w:left="0" w:right="0" w:hanging="0"/>
              <w:jc w:val="center"/>
              <w:rPr/>
            </w:pPr>
            <w:r>
              <w:rPr/>
              <w:t>​</w:t>
            </w:r>
          </w:p>
        </w:tc>
        <w:tc>
          <w:tcPr>
            <w:tcW w:w="500" w:type="dxa"/>
            <w:tcBorders/>
            <w:shd w:fill="CCEEFF" w:val="clear"/>
            <w:vAlign w:val="center"/>
          </w:tcPr>
          <w:p>
            <w:pPr>
              <w:pStyle w:val="TableContents"/>
              <w:bidi w:val="0"/>
              <w:spacing w:before="0" w:after="1"/>
              <w:ind w:left="0" w:right="0" w:hanging="0"/>
              <w:jc w:val="center"/>
              <w:rPr/>
            </w:pPr>
            <w:r>
              <w:rPr/>
              <w:t>  ​</w:t>
            </w:r>
          </w:p>
        </w:tc>
        <w:tc>
          <w:tcPr>
            <w:tcW w:w="700" w:type="dxa"/>
            <w:tcBorders/>
            <w:shd w:fill="CCEEFF" w:val="clear"/>
            <w:vAlign w:val="center"/>
          </w:tcPr>
          <w:p>
            <w:pPr>
              <w:pStyle w:val="TableContents"/>
              <w:bidi w:val="0"/>
              <w:spacing w:before="0" w:after="1"/>
              <w:ind w:left="0" w:right="0" w:hanging="0"/>
              <w:jc w:val="center"/>
              <w:rPr/>
            </w:pPr>
            <w:r>
              <w:rPr/>
              <w:t>​</w:t>
            </w:r>
          </w:p>
        </w:tc>
        <w:tc>
          <w:tcPr>
            <w:tcW w:w="346" w:type="dxa"/>
            <w:tcBorders/>
            <w:shd w:fill="CCEEFF" w:val="clear"/>
            <w:vAlign w:val="center"/>
          </w:tcPr>
          <w:p>
            <w:pPr>
              <w:pStyle w:val="TableContents"/>
              <w:bidi w:val="0"/>
              <w:spacing w:before="0" w:after="1"/>
              <w:ind w:left="0" w:right="0" w:hanging="0"/>
              <w:jc w:val="center"/>
              <w:rPr/>
            </w:pPr>
            <w:r>
              <w:rPr/>
              <w:t>​</w:t>
            </w:r>
          </w:p>
        </w:tc>
        <w:tc>
          <w:tcPr>
            <w:tcW w:w="547" w:type="dxa"/>
            <w:tcBorders/>
            <w:shd w:fill="CCEEFF" w:val="clear"/>
            <w:vAlign w:val="center"/>
          </w:tcPr>
          <w:p>
            <w:pPr>
              <w:pStyle w:val="TableContents"/>
              <w:bidi w:val="0"/>
              <w:spacing w:before="0" w:after="1"/>
              <w:ind w:left="0" w:right="0" w:hanging="0"/>
              <w:jc w:val="center"/>
              <w:rPr/>
            </w:pPr>
            <w:r>
              <w:rPr/>
              <w:t>  ​</w:t>
            </w:r>
          </w:p>
        </w:tc>
        <w:tc>
          <w:tcPr>
            <w:tcW w:w="878" w:type="dxa"/>
            <w:tcBorders/>
            <w:shd w:fill="CCEEFF" w:val="clear"/>
            <w:vAlign w:val="center"/>
          </w:tcPr>
          <w:p>
            <w:pPr>
              <w:pStyle w:val="TableContents"/>
              <w:bidi w:val="0"/>
              <w:spacing w:before="0" w:after="1"/>
              <w:ind w:left="0" w:right="0" w:hanging="0"/>
              <w:jc w:val="center"/>
              <w:rPr/>
            </w:pPr>
            <w:r>
              <w:rPr/>
              <w:t>​</w:t>
            </w:r>
          </w:p>
        </w:tc>
      </w:tr>
      <w:tr>
        <w:trPr/>
        <w:tc>
          <w:tcPr>
            <w:tcW w:w="204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Net sales</w:t>
            </w:r>
          </w:p>
        </w:tc>
        <w:tc>
          <w:tcPr>
            <w:tcW w:w="346" w:type="dxa"/>
            <w:tcBorders/>
            <w:vAlign w:val="center"/>
          </w:tcPr>
          <w:p>
            <w:pPr>
              <w:pStyle w:val="TableContents"/>
              <w:bidi w:val="0"/>
              <w:spacing w:before="0" w:after="1"/>
              <w:ind w:left="0" w:right="0" w:hanging="0"/>
              <w:jc w:val="left"/>
              <w:rPr/>
            </w:pPr>
            <w:r>
              <w:rPr/>
              <w:t>​</w:t>
            </w:r>
          </w:p>
        </w:tc>
        <w:tc>
          <w:tcPr>
            <w:tcW w:w="247"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379" w:type="dxa"/>
            <w:tcBorders/>
            <w:vAlign w:val="center"/>
          </w:tcPr>
          <w:p>
            <w:pPr>
              <w:pStyle w:val="TableContents"/>
              <w:bidi w:val="0"/>
              <w:spacing w:before="0" w:after="1"/>
              <w:ind w:left="0" w:right="0" w:hanging="0"/>
              <w:jc w:val="right"/>
              <w:rPr/>
            </w:pPr>
            <w:r>
              <w:rPr/>
              <w:t>—</w:t>
            </w:r>
          </w:p>
        </w:tc>
        <w:tc>
          <w:tcPr>
            <w:tcW w:w="379" w:type="dxa"/>
            <w:tcBorders/>
            <w:vAlign w:val="center"/>
          </w:tcPr>
          <w:p>
            <w:pPr>
              <w:pStyle w:val="TableContents"/>
              <w:bidi w:val="0"/>
              <w:spacing w:before="0" w:after="1"/>
              <w:ind w:left="0" w:right="0" w:hanging="0"/>
              <w:jc w:val="left"/>
              <w:rPr/>
            </w:pPr>
            <w:r>
              <w:rPr/>
              <w:t>​</w:t>
            </w:r>
          </w:p>
        </w:tc>
        <w:tc>
          <w:tcPr>
            <w:tcW w:w="247"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379" w:type="dxa"/>
            <w:tcBorders/>
            <w:vAlign w:val="center"/>
          </w:tcPr>
          <w:p>
            <w:pPr>
              <w:pStyle w:val="TableContents"/>
              <w:bidi w:val="0"/>
              <w:spacing w:before="0" w:after="1"/>
              <w:ind w:left="0" w:right="0" w:hanging="0"/>
              <w:jc w:val="right"/>
              <w:rPr/>
            </w:pPr>
            <w:r>
              <w:rPr/>
              <w:t>—</w:t>
            </w:r>
          </w:p>
        </w:tc>
        <w:tc>
          <w:tcPr>
            <w:tcW w:w="379" w:type="dxa"/>
            <w:tcBorders/>
            <w:vAlign w:val="center"/>
          </w:tcPr>
          <w:p>
            <w:pPr>
              <w:pStyle w:val="TableContents"/>
              <w:bidi w:val="0"/>
              <w:spacing w:before="0" w:after="1"/>
              <w:ind w:left="0" w:right="0" w:hanging="0"/>
              <w:jc w:val="left"/>
              <w:rPr/>
            </w:pPr>
            <w:r>
              <w:rPr/>
              <w:t>​</w:t>
            </w:r>
          </w:p>
        </w:tc>
        <w:tc>
          <w:tcPr>
            <w:tcW w:w="29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455"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500"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00"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30</w:t>
            </w:r>
          </w:p>
        </w:tc>
        <w:tc>
          <w:tcPr>
            <w:tcW w:w="346" w:type="dxa"/>
            <w:tcBorders/>
            <w:vAlign w:val="center"/>
          </w:tcPr>
          <w:p>
            <w:pPr>
              <w:pStyle w:val="TableContents"/>
              <w:bidi w:val="0"/>
              <w:spacing w:before="0" w:after="1"/>
              <w:ind w:left="0" w:right="0" w:hanging="0"/>
              <w:jc w:val="left"/>
              <w:rPr/>
            </w:pPr>
            <w:r>
              <w:rPr/>
              <w:t>​</w:t>
            </w:r>
          </w:p>
        </w:tc>
        <w:tc>
          <w:tcPr>
            <w:tcW w:w="547"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78"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30</w:t>
            </w:r>
          </w:p>
        </w:tc>
      </w:tr>
      <w:tr>
        <w:trPr/>
        <w:tc>
          <w:tcPr>
            <w:tcW w:w="204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Income from operations</w:t>
            </w:r>
          </w:p>
        </w:tc>
        <w:tc>
          <w:tcPr>
            <w:tcW w:w="346" w:type="dxa"/>
            <w:tcBorders/>
            <w:shd w:fill="CCEEFF" w:val="clear"/>
            <w:vAlign w:val="center"/>
          </w:tcPr>
          <w:p>
            <w:pPr>
              <w:pStyle w:val="TableContents"/>
              <w:bidi w:val="0"/>
              <w:spacing w:before="0" w:after="1"/>
              <w:ind w:left="0" w:right="0" w:hanging="0"/>
              <w:jc w:val="left"/>
              <w:rPr/>
            </w:pPr>
            <w:r>
              <w:rPr/>
              <w:t>​</w:t>
            </w:r>
          </w:p>
        </w:tc>
        <w:tc>
          <w:tcPr>
            <w:tcW w:w="247" w:type="dxa"/>
            <w:tcBorders/>
            <w:shd w:fill="CCEEFF" w:val="clear"/>
            <w:vAlign w:val="center"/>
          </w:tcPr>
          <w:p>
            <w:pPr>
              <w:pStyle w:val="TableContents"/>
              <w:bidi w:val="0"/>
              <w:spacing w:before="0" w:after="1"/>
              <w:ind w:left="0" w:right="0" w:hanging="0"/>
              <w:jc w:val="left"/>
              <w:rPr/>
            </w:pPr>
            <w:r>
              <w:rPr/>
              <w:t> </w:t>
            </w:r>
          </w:p>
        </w:tc>
        <w:tc>
          <w:tcPr>
            <w:tcW w:w="379"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w:t>
            </w:r>
          </w:p>
        </w:tc>
        <w:tc>
          <w:tcPr>
            <w:tcW w:w="379" w:type="dxa"/>
            <w:tcBorders/>
            <w:shd w:fill="CCEEFF" w:val="clear"/>
            <w:vAlign w:val="center"/>
          </w:tcPr>
          <w:p>
            <w:pPr>
              <w:pStyle w:val="TableContents"/>
              <w:bidi w:val="0"/>
              <w:spacing w:before="0" w:after="1"/>
              <w:ind w:left="0" w:right="0" w:hanging="0"/>
              <w:jc w:val="left"/>
              <w:rPr/>
            </w:pPr>
            <w:r>
              <w:rPr/>
              <w:t>​</w:t>
            </w:r>
          </w:p>
        </w:tc>
        <w:tc>
          <w:tcPr>
            <w:tcW w:w="247" w:type="dxa"/>
            <w:tcBorders/>
            <w:shd w:fill="CCEEFF" w:val="clear"/>
            <w:vAlign w:val="center"/>
          </w:tcPr>
          <w:p>
            <w:pPr>
              <w:pStyle w:val="TableContents"/>
              <w:bidi w:val="0"/>
              <w:spacing w:before="0" w:after="1"/>
              <w:ind w:left="0" w:right="0" w:hanging="0"/>
              <w:jc w:val="left"/>
              <w:rPr/>
            </w:pPr>
            <w:r>
              <w:rPr/>
              <w:t> </w:t>
            </w:r>
          </w:p>
        </w:tc>
        <w:tc>
          <w:tcPr>
            <w:tcW w:w="379"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w:t>
            </w:r>
          </w:p>
        </w:tc>
        <w:tc>
          <w:tcPr>
            <w:tcW w:w="379" w:type="dxa"/>
            <w:tcBorders/>
            <w:shd w:fill="CCEEFF" w:val="clear"/>
            <w:vAlign w:val="center"/>
          </w:tcPr>
          <w:p>
            <w:pPr>
              <w:pStyle w:val="TableContents"/>
              <w:bidi w:val="0"/>
              <w:spacing w:before="0" w:after="1"/>
              <w:ind w:left="0" w:right="0" w:hanging="0"/>
              <w:jc w:val="left"/>
              <w:rPr/>
            </w:pPr>
            <w:r>
              <w:rPr/>
              <w:t>​</w:t>
            </w:r>
          </w:p>
        </w:tc>
        <w:tc>
          <w:tcPr>
            <w:tcW w:w="296" w:type="dxa"/>
            <w:tcBorders/>
            <w:shd w:fill="CCEEFF" w:val="clear"/>
            <w:vAlign w:val="center"/>
          </w:tcPr>
          <w:p>
            <w:pPr>
              <w:pStyle w:val="TableContents"/>
              <w:bidi w:val="0"/>
              <w:spacing w:before="0" w:after="1"/>
              <w:ind w:left="0" w:right="0" w:hanging="0"/>
              <w:jc w:val="left"/>
              <w:rPr/>
            </w:pPr>
            <w:r>
              <w:rPr/>
              <w:t> </w:t>
            </w:r>
          </w:p>
        </w:tc>
        <w:tc>
          <w:tcPr>
            <w:tcW w:w="455"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w:t>
            </w:r>
          </w:p>
        </w:tc>
        <w:tc>
          <w:tcPr>
            <w:tcW w:w="346" w:type="dxa"/>
            <w:tcBorders/>
            <w:shd w:fill="CCEEFF" w:val="clear"/>
            <w:vAlign w:val="center"/>
          </w:tcPr>
          <w:p>
            <w:pPr>
              <w:pStyle w:val="TableContents"/>
              <w:bidi w:val="0"/>
              <w:spacing w:before="0" w:after="1"/>
              <w:ind w:left="0" w:right="0" w:hanging="0"/>
              <w:jc w:val="left"/>
              <w:rPr/>
            </w:pPr>
            <w:r>
              <w:rPr/>
              <w:t>​</w:t>
            </w:r>
          </w:p>
        </w:tc>
        <w:tc>
          <w:tcPr>
            <w:tcW w:w="500" w:type="dxa"/>
            <w:tcBorders/>
            <w:shd w:fill="CCEEFF" w:val="clear"/>
            <w:vAlign w:val="center"/>
          </w:tcPr>
          <w:p>
            <w:pPr>
              <w:pStyle w:val="TableContents"/>
              <w:bidi w:val="0"/>
              <w:spacing w:before="0" w:after="1"/>
              <w:ind w:left="0" w:right="0" w:hanging="0"/>
              <w:jc w:val="left"/>
              <w:rPr/>
            </w:pPr>
            <w:r>
              <w:rPr/>
              <w:t> </w:t>
            </w:r>
          </w:p>
        </w:tc>
        <w:tc>
          <w:tcPr>
            <w:tcW w:w="700"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w:t>
            </w:r>
          </w:p>
        </w:tc>
        <w:tc>
          <w:tcPr>
            <w:tcW w:w="346" w:type="dxa"/>
            <w:tcBorders/>
            <w:shd w:fill="CCEEFF" w:val="clear"/>
            <w:vAlign w:val="center"/>
          </w:tcPr>
          <w:p>
            <w:pPr>
              <w:pStyle w:val="TableContents"/>
              <w:bidi w:val="0"/>
              <w:spacing w:before="0" w:after="1"/>
              <w:ind w:left="0" w:right="0" w:hanging="0"/>
              <w:jc w:val="left"/>
              <w:rPr/>
            </w:pPr>
            <w:r>
              <w:rPr/>
              <w:t>​</w:t>
            </w:r>
          </w:p>
        </w:tc>
        <w:tc>
          <w:tcPr>
            <w:tcW w:w="547" w:type="dxa"/>
            <w:tcBorders/>
            <w:shd w:fill="CCEEFF" w:val="clear"/>
            <w:vAlign w:val="center"/>
          </w:tcPr>
          <w:p>
            <w:pPr>
              <w:pStyle w:val="TableContents"/>
              <w:bidi w:val="0"/>
              <w:spacing w:before="0" w:after="1"/>
              <w:ind w:left="0" w:right="0" w:hanging="0"/>
              <w:jc w:val="left"/>
              <w:rPr/>
            </w:pPr>
            <w:r>
              <w:rPr/>
              <w:t> </w:t>
            </w:r>
          </w:p>
        </w:tc>
        <w:tc>
          <w:tcPr>
            <w:tcW w:w="878"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w:t>
            </w:r>
          </w:p>
        </w:tc>
      </w:tr>
    </w:tbl>
    <w:p>
      <w:pPr>
        <w:pStyle w:val="TextBody"/>
        <w:bidi w:val="0"/>
        <w:spacing w:before="0" w:after="240"/>
        <w:ind w:left="0" w:right="0" w:firstLine="720"/>
        <w:jc w:val="both"/>
        <w:rPr/>
      </w:pPr>
      <w:r>
        <w:rPr/>
        <w:t>​</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The $30 million increase in net sales (translation gains) was caused primarily by a weakening of the U.S. dollar relative to the euro, as Kronos’ euro-denominated sales were translated into more U.S. dollars in 2026 as compared to 2025. The weakening of the U.S. dollar relative to the Canadian dollar and the Norwegian krone in 2026 did not have a significant effect on Kronos’ net sales, as a substantial portion of the sales generated by its Canadian and Norwegian operations is denominated in the U.S. dollar.</w:t>
      </w:r>
    </w:p>
    <w:p>
      <w:pPr>
        <w:pStyle w:val="TextBody"/>
        <w:bidi w:val="0"/>
        <w:spacing w:before="240" w:after="120"/>
        <w:ind w:left="0" w:right="0" w:firstLine="720"/>
        <w:jc w:val="both"/>
        <w:rPr>
          <w:rFonts w:ascii="Times New Roman;Times;serif" w:hAnsi="Times New Roman;Times;serif"/>
          <w:sz w:val="20"/>
        </w:rPr>
      </w:pPr>
      <w:r>
        <w:rPr>
          <w:rFonts w:ascii="Times New Roman;Times;serif" w:hAnsi="Times New Roman;Times;serif"/>
          <w:sz w:val="20"/>
        </w:rPr>
        <w:t>The $6 million decrease in income from operations was comprised of the following:</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Higher net currency transaction losses of approximately $1 million primarily caused by relative changes in currency exchange rates at each applicable balance sheet date between the U.S. dollar and the euro, Canadian dollar and the Norwegian krone, and between the euro and the Norwegian krone, which causes increases or decreases, as applicable, in U.S. dollar-denominated receivables and payables and U.S. dollar currency held by Kronos’ non-U.S. operations, and in Norwegian krone denominated receivables and payables held by its non-U.S. operations. In the first quarter of 2025, Kronos entered into a currency forward contract to purchase €25 million at an exchange rate of €1.05 per U.S. dollar. Kronos recognized a $.9 million currency transaction gain for the three months ended March 31, 2025, and </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Approximately $5 million from net currency translation losses primarily caused by a weakening of the U.S. dollar relative to the Canadian dollar, Norwegian krone and euro, as local currency-denominated operating costs were translated into more U.S dollars in 2026 as compared to 2025. The net translation gains from the favorable effects of the weaker U.S dollar on euro-denominated sales more than offset the negative effects on euro-denominated operating costs being translated into more U.S. dollars in 2026 as compared to 2025.</w:t>
            </w:r>
          </w:p>
        </w:tc>
      </w:tr>
    </w:tbl>
    <w:p>
      <w:pPr>
        <w:pStyle w:val="TextBody"/>
        <w:bidi w:val="0"/>
        <w:spacing w:before="240" w:after="240"/>
        <w:ind w:left="0" w:right="0" w:hanging="0"/>
        <w:jc w:val="left"/>
        <w:rPr>
          <w:rFonts w:ascii="Times New Roman;Times;serif" w:hAnsi="Times New Roman;Times;serif"/>
          <w:b/>
          <w:sz w:val="20"/>
        </w:rPr>
      </w:pPr>
      <w:r>
        <w:rPr>
          <w:rFonts w:ascii="Times New Roman;Times;serif" w:hAnsi="Times New Roman;Times;serif"/>
          <w:b/>
          <w:sz w:val="20"/>
        </w:rPr>
        <w:t>Outlook</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 xml:space="preserve">During the first quarter of 2026, Kronos’ sales volumes improved compared to the same period in 2025, primarily driven by higher sales volumes in its North American, Latin American, and export markets. While Kronos gained market share in Europe as a result of competitor capacity reductions in 2025, these gains were not sufficient to offset further weakening end-market demand in the region. Although customers remain reluctant to build inventory, order lead times have increased which provides Kronos with greater flexibility in near- and intermediate-term production planning. Kronos’ order backlog at the beginning of 2026 was generally higher than the comparable prior-year period and has continued to show positive trends entering the second quarter. However, overall demand </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27</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 xml:space="preserve">remains below historical levels, and the timing and sustainability of a broader market recovery remain uncertain. Kronos implemented price increases during the first quarter of 2026; however, selling prices remain below 2025 levels, and additional price increases will be required to improve its operating margins.   </w:t>
      </w:r>
    </w:p>
    <w:p>
      <w:pPr>
        <w:pStyle w:val="TextBody"/>
        <w:bidi w:val="0"/>
        <w:spacing w:before="0" w:after="0"/>
        <w:ind w:left="0" w:right="0" w:firstLine="720"/>
        <w:jc w:val="both"/>
        <w:rPr/>
      </w:pPr>
      <w:r>
        <w:rPr/>
        <w:t>​</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During the fourth quarter of 2025, Kronos implemented cost reduction initiatives, including workforce reductions and other measures, to permanently improve its cost structure and enable more efficient operation of its facilities at lower production rates for extended periods. Kronos operated its facilities slightly below normal capacity during the first quarter of 2026. Kronos’ operating model balances improved cost efficiency with flexibility to respond to changes in demand. During the first quarter of 2026, Kronos sold through higher cost inventory produced in the fourth quarter of 2025 and expects gross margin to improve as it realizes the benefit of lower cost inventory produced during 2026.</w:t>
      </w:r>
    </w:p>
    <w:p>
      <w:pPr>
        <w:pStyle w:val="TextBody"/>
        <w:bidi w:val="0"/>
        <w:spacing w:before="0" w:after="0"/>
        <w:ind w:left="0" w:right="0" w:firstLine="720"/>
        <w:jc w:val="both"/>
        <w:rPr/>
      </w:pPr>
      <w:r>
        <w:rPr/>
        <w:t>​</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Industry supply conditions tightened during the first quarter of 2026 due to the recent geopolitical conflict in the Middle East and related supply chain disruptions, including sulfuric acid pricing pressures, and higher energy costs, particularly in Europe. As a result, Kronos is beginning to experience higher shipping and production costs driven primarily by increased energy, utility and raw material costs, especially in Europe. These cost pressures are expected to persist as long as uncertainty related to the conflict in the Middle East and broader global conditions continue. In response to rising costs, Kronos implemented surcharges in most major markets and announced price increases effective in the second quarter of 2026. Kronos expects TiO₂ selling prices to continue to rise during 2026, which would help mitigate increases in distribution, raw material, energy, and other production costs, although margins will remain below historical levels.</w:t>
      </w:r>
    </w:p>
    <w:p>
      <w:pPr>
        <w:pStyle w:val="TextBody"/>
        <w:bidi w:val="0"/>
        <w:spacing w:before="0" w:after="0"/>
        <w:ind w:left="0" w:right="0" w:firstLine="720"/>
        <w:jc w:val="both"/>
        <w:rPr/>
      </w:pPr>
      <w:r>
        <w:rPr/>
        <w:t>​</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 xml:space="preserve">Kronos is focused on improving operating margins through pricing actions, disciplined cost management, and continued execution of its operating cost structural realignment initiatives. Kronos is also continuing to pursue targeted market share opportunities in regions and markets impacted by competitor curtailments, closures, logistical disruptions, or trade measures such as tariffs or duties that have reduced the competitiveness of low-cost imports. These actions are intended to support improved operating performance while maintaining flexibility in the event of continued demand volatility. </w:t>
      </w:r>
    </w:p>
    <w:p>
      <w:pPr>
        <w:pStyle w:val="TextBody"/>
        <w:bidi w:val="0"/>
        <w:spacing w:before="0" w:after="0"/>
        <w:ind w:left="0" w:right="0" w:firstLine="720"/>
        <w:jc w:val="both"/>
        <w:rPr/>
      </w:pPr>
      <w:r>
        <w:rPr/>
        <w:t>​</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Kronos’ liquidity and capital resources remain sufficient to support its operations and planned capital investments. While Kronos typically experiences significant seasonal cash usage in the first quarter, it expects cash on hand to improve over the remainder of the year. Kronos will continue to actively manage working capital, including inventories and receivables, to bolster operating cash flows and maintain financial flexibility. Kronos believes its revolver availability, combined with the absence of near-term debt maturities and improved operating cash flows, will provide adequate liquidity for expected working capital needs and capital allocation requirements.</w:t>
      </w:r>
    </w:p>
    <w:p>
      <w:pPr>
        <w:pStyle w:val="TextBody"/>
        <w:bidi w:val="0"/>
        <w:spacing w:before="0" w:after="0"/>
        <w:ind w:left="0" w:right="0" w:hanging="0"/>
        <w:jc w:val="both"/>
        <w:rPr/>
      </w:pPr>
      <w:r>
        <w:rPr/>
        <w:t>​</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Kronos’ expectations for the TiO</w:t>
      </w:r>
      <w:r>
        <w:rPr>
          <w:rFonts w:ascii="Times New Roman;Times;serif" w:hAnsi="Times New Roman;Times;serif"/>
          <w:sz w:val="15"/>
        </w:rPr>
        <w:t>2</w:t>
      </w:r>
      <w:r>
        <w:rPr>
          <w:rFonts w:ascii="Times New Roman;Times;serif" w:hAnsi="Times New Roman;Times;serif"/>
          <w:sz w:val="20"/>
        </w:rPr>
        <w:t xml:space="preserve"> industry and its operations are based on a number of factors outside its control. Kronos’ operations are affected by global and regional economic, political and regulatory factors, and it has experienced global market disruptions. Future impacts on Kronos’ operations will depend on, among other things, future energy costs, the effect of newly enacted tariffs in jurisdictions where it or its customers and suppliers operate, its success in implementing mitigation strategies, and the impact of economic conditions, consumer confidence, and geopolitical events on its operations or its customers’ and suppliers’ operations, all of which remain uncertain and cannot be predicted.</w:t>
      </w:r>
    </w:p>
    <w:p>
      <w:pPr>
        <w:pStyle w:val="TextBody"/>
        <w:bidi w:val="0"/>
        <w:spacing w:before="240" w:after="240"/>
        <w:ind w:left="0" w:right="0" w:hanging="0"/>
        <w:jc w:val="left"/>
        <w:rPr>
          <w:rFonts w:ascii="Times New Roman;Times;serif" w:hAnsi="Times New Roman;Times;serif"/>
          <w:b/>
          <w:sz w:val="20"/>
        </w:rPr>
      </w:pPr>
      <w:r>
        <w:rPr>
          <w:rFonts w:ascii="Times New Roman;Times;serif" w:hAnsi="Times New Roman;Times;serif"/>
          <w:b/>
          <w:sz w:val="20"/>
        </w:rPr>
        <w:t>Liquidity and Capital Resources</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Consolidated cash flows</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Operating activities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Trends in cash flows from operating activities, excluding the impact of deferred taxes and relative changes in assets and liabilities, are generally similar to trends in our income from operations.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Net cash used in operating activities was $3.5</w:t>
      </w:r>
      <w:r>
        <w:rPr>
          <w:rFonts w:ascii="Times New Roman;Times;serif" w:hAnsi="Times New Roman;Times;serif"/>
          <w:spacing w:val="-2"/>
          <w:sz w:val="20"/>
        </w:rPr>
        <w:t xml:space="preserve"> </w:t>
      </w:r>
      <w:r>
        <w:rPr>
          <w:rFonts w:ascii="Times New Roman;Times;serif" w:hAnsi="Times New Roman;Times;serif"/>
          <w:sz w:val="20"/>
        </w:rPr>
        <w:t>million in the first three months of 2026 compared to net cash used in operating activities of $47.5 million in the first three months of 2025. The decrease in net cash used in operating activities in the first three months of 2026 is primarily due to the net effects of:</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lower cash paid for environmental remediation and related costs of $56.6 million primarily due to the payment of a settlement for an environmental remediation site in 2025; </w:t>
            </w:r>
          </w:p>
        </w:tc>
      </w:tr>
    </w:tbl>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28</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higher net cash used by relative changes in receivables, inventories, prepaids, payables and accrued liabilities in 2026 of $12.9 million; and</w:t>
            </w:r>
          </w:p>
        </w:tc>
      </w:tr>
    </w:tbl>
    <w:tbl>
      <w:tblPr>
        <w:tblW w:w="5346" w:type="dxa"/>
        <w:jc w:val="left"/>
        <w:tblInd w:w="0" w:type="dxa"/>
        <w:tblLayout w:type="fixed"/>
        <w:tblCellMar>
          <w:top w:w="28" w:type="dxa"/>
          <w:left w:w="28" w:type="dxa"/>
          <w:bottom w:w="28" w:type="dxa"/>
          <w:right w:w="28" w:type="dxa"/>
        </w:tblCellMar>
      </w:tblPr>
      <w:tblGrid>
        <w:gridCol w:w="124"/>
        <w:gridCol w:w="256"/>
        <w:gridCol w:w="496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496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higher segment profit from CompX in 2026 of $1.2 million.</w:t>
            </w:r>
          </w:p>
        </w:tc>
      </w:tr>
    </w:tbl>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We do not have complete access to CompX’s cash flows in part because we do not own 100% of CompX. A detail of our consolidated cash flows from operating activities is presented in the table below. Intercompany dividends have been eliminated. The reference to NL Parent in the table below is a reference to NL Industries, Inc., as the parent company of CompX and our wholly-owned subsidiaries.</w:t>
      </w:r>
    </w:p>
    <w:tbl>
      <w:tblPr>
        <w:tblW w:w="6525" w:type="dxa"/>
        <w:jc w:val="left"/>
        <w:tblInd w:w="0" w:type="dxa"/>
        <w:tblLayout w:type="fixed"/>
        <w:tblCellMar>
          <w:top w:w="0" w:type="dxa"/>
          <w:left w:w="0" w:type="dxa"/>
          <w:bottom w:w="0" w:type="dxa"/>
          <w:right w:w="0" w:type="dxa"/>
        </w:tblCellMar>
      </w:tblPr>
      <w:tblGrid>
        <w:gridCol w:w="4276"/>
        <w:gridCol w:w="346"/>
        <w:gridCol w:w="213"/>
        <w:gridCol w:w="594"/>
        <w:gridCol w:w="350"/>
        <w:gridCol w:w="213"/>
        <w:gridCol w:w="533"/>
      </w:tblGrid>
      <w:tr>
        <w:trPr/>
        <w:tc>
          <w:tcPr>
            <w:tcW w:w="42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8">
                      <wp:simplePos x="0" y="0"/>
                      <wp:positionH relativeFrom="character">
                        <wp:align>left</wp:align>
                      </wp:positionH>
                      <wp:positionV relativeFrom="line">
                        <wp:posOffset>635</wp:posOffset>
                      </wp:positionV>
                      <wp:extent cx="2715260" cy="175260"/>
                      <wp:effectExtent l="0" t="0" r="0" b="0"/>
                      <wp:wrapNone/>
                      <wp:docPr id="247" name="Frame247"/>
                      <a:graphic xmlns:a="http://schemas.openxmlformats.org/drawingml/2006/main">
                        <a:graphicData uri="http://schemas.microsoft.com/office/word/2010/wordprocessingShape">
                          <wps:wsp>
                            <wps:cNvSpPr txBox="1"/>
                            <wps:spPr>
                              <a:xfrm>
                                <a:off x="0" y="0"/>
                                <a:ext cx="27152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1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9">
                      <wp:simplePos x="0" y="0"/>
                      <wp:positionH relativeFrom="character">
                        <wp:align>left</wp:align>
                      </wp:positionH>
                      <wp:positionV relativeFrom="line">
                        <wp:posOffset>635</wp:posOffset>
                      </wp:positionV>
                      <wp:extent cx="219710" cy="175260"/>
                      <wp:effectExtent l="0" t="0" r="0" b="0"/>
                      <wp:wrapNone/>
                      <wp:docPr id="248" name="Frame248"/>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0">
                      <wp:simplePos x="0" y="0"/>
                      <wp:positionH relativeFrom="character">
                        <wp:align>left</wp:align>
                      </wp:positionH>
                      <wp:positionV relativeFrom="line">
                        <wp:posOffset>635</wp:posOffset>
                      </wp:positionV>
                      <wp:extent cx="135255" cy="175260"/>
                      <wp:effectExtent l="0" t="0" r="0" b="0"/>
                      <wp:wrapNone/>
                      <wp:docPr id="249" name="Frame249"/>
                      <a:graphic xmlns:a="http://schemas.openxmlformats.org/drawingml/2006/main">
                        <a:graphicData uri="http://schemas.microsoft.com/office/word/2010/wordprocessingShape">
                          <wps:wsp>
                            <wps:cNvSpPr txBox="1"/>
                            <wps:spPr>
                              <a:xfrm>
                                <a:off x="0" y="0"/>
                                <a:ext cx="13525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59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1">
                      <wp:simplePos x="0" y="0"/>
                      <wp:positionH relativeFrom="character">
                        <wp:align>left</wp:align>
                      </wp:positionH>
                      <wp:positionV relativeFrom="line">
                        <wp:posOffset>635</wp:posOffset>
                      </wp:positionV>
                      <wp:extent cx="377190" cy="175260"/>
                      <wp:effectExtent l="0" t="0" r="0" b="0"/>
                      <wp:wrapNone/>
                      <wp:docPr id="250" name="Frame250"/>
                      <a:graphic xmlns:a="http://schemas.openxmlformats.org/drawingml/2006/main">
                        <a:graphicData uri="http://schemas.microsoft.com/office/word/2010/wordprocessingShape">
                          <wps:wsp>
                            <wps:cNvSpPr txBox="1"/>
                            <wps:spPr>
                              <a:xfrm>
                                <a:off x="0" y="0"/>
                                <a:ext cx="37719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9.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5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2">
                      <wp:simplePos x="0" y="0"/>
                      <wp:positionH relativeFrom="character">
                        <wp:align>left</wp:align>
                      </wp:positionH>
                      <wp:positionV relativeFrom="line">
                        <wp:posOffset>635</wp:posOffset>
                      </wp:positionV>
                      <wp:extent cx="222250" cy="175260"/>
                      <wp:effectExtent l="0" t="0" r="0" b="0"/>
                      <wp:wrapNone/>
                      <wp:docPr id="251" name="Frame251"/>
                      <a:graphic xmlns:a="http://schemas.openxmlformats.org/drawingml/2006/main">
                        <a:graphicData uri="http://schemas.microsoft.com/office/word/2010/wordprocessingShape">
                          <wps:wsp>
                            <wps:cNvSpPr txBox="1"/>
                            <wps:spPr>
                              <a:xfrm>
                                <a:off x="0" y="0"/>
                                <a:ext cx="22225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3">
                      <wp:simplePos x="0" y="0"/>
                      <wp:positionH relativeFrom="character">
                        <wp:align>left</wp:align>
                      </wp:positionH>
                      <wp:positionV relativeFrom="line">
                        <wp:posOffset>635</wp:posOffset>
                      </wp:positionV>
                      <wp:extent cx="135255" cy="175260"/>
                      <wp:effectExtent l="0" t="0" r="0" b="0"/>
                      <wp:wrapNone/>
                      <wp:docPr id="252" name="Frame252"/>
                      <a:graphic xmlns:a="http://schemas.openxmlformats.org/drawingml/2006/main">
                        <a:graphicData uri="http://schemas.microsoft.com/office/word/2010/wordprocessingShape">
                          <wps:wsp>
                            <wps:cNvSpPr txBox="1"/>
                            <wps:spPr>
                              <a:xfrm>
                                <a:off x="0" y="0"/>
                                <a:ext cx="13525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53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4">
                      <wp:simplePos x="0" y="0"/>
                      <wp:positionH relativeFrom="character">
                        <wp:align>left</wp:align>
                      </wp:positionH>
                      <wp:positionV relativeFrom="line">
                        <wp:posOffset>635</wp:posOffset>
                      </wp:positionV>
                      <wp:extent cx="338455" cy="175260"/>
                      <wp:effectExtent l="0" t="0" r="0" b="0"/>
                      <wp:wrapNone/>
                      <wp:docPr id="253" name="Frame253"/>
                      <a:graphic xmlns:a="http://schemas.openxmlformats.org/drawingml/2006/main">
                        <a:graphicData uri="http://schemas.microsoft.com/office/word/2010/wordprocessingShape">
                          <wps:wsp>
                            <wps:cNvSpPr txBox="1"/>
                            <wps:spPr>
                              <a:xfrm>
                                <a:off x="0" y="0"/>
                                <a:ext cx="33845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6.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427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  ​ ​ ​</w:t>
            </w:r>
          </w:p>
        </w:tc>
        <w:tc>
          <w:tcPr>
            <w:tcW w:w="1903" w:type="dxa"/>
            <w:gridSpan w:val="5"/>
            <w:tcBorders/>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 xml:space="preserve">Three months ended </w:t>
            </w:r>
          </w:p>
        </w:tc>
      </w:tr>
      <w:tr>
        <w:trPr/>
        <w:tc>
          <w:tcPr>
            <w:tcW w:w="427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w:t>
            </w:r>
          </w:p>
        </w:tc>
        <w:tc>
          <w:tcPr>
            <w:tcW w:w="1903"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March 31, </w:t>
            </w:r>
          </w:p>
        </w:tc>
      </w:tr>
      <w:tr>
        <w:trPr/>
        <w:tc>
          <w:tcPr>
            <w:tcW w:w="427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  ​ ​ ​</w:t>
            </w:r>
          </w:p>
        </w:tc>
        <w:tc>
          <w:tcPr>
            <w:tcW w:w="80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2025</w:t>
            </w:r>
          </w:p>
        </w:tc>
        <w:tc>
          <w:tcPr>
            <w:tcW w:w="350" w:type="dxa"/>
            <w:tcBorders/>
            <w:vAlign w:val="center"/>
          </w:tcPr>
          <w:p>
            <w:pPr>
              <w:pStyle w:val="TableContents"/>
              <w:bidi w:val="0"/>
              <w:spacing w:before="0" w:after="1"/>
              <w:ind w:left="0" w:right="0" w:hanging="0"/>
              <w:jc w:val="center"/>
              <w:rPr/>
            </w:pPr>
            <w:r>
              <w:rPr/>
              <w:t>  ​ ​ ​</w:t>
            </w:r>
          </w:p>
        </w:tc>
        <w:tc>
          <w:tcPr>
            <w:tcW w:w="746"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2026</w:t>
            </w:r>
          </w:p>
        </w:tc>
      </w:tr>
      <w:tr>
        <w:trPr/>
        <w:tc>
          <w:tcPr>
            <w:tcW w:w="6525" w:type="dxa"/>
            <w:gridSpan w:val="7"/>
            <w:tcBorders/>
            <w:vAlign w:val="center"/>
          </w:tcPr>
          <w:p>
            <w:pPr>
              <w:pStyle w:val="TableContents"/>
              <w:bidi w:val="0"/>
              <w:spacing w:before="0" w:after="283"/>
              <w:ind w:left="0" w:right="0" w:hanging="0"/>
              <w:jc w:val="left"/>
              <w:rPr>
                <w:sz w:val="4"/>
                <w:szCs w:val="4"/>
              </w:rPr>
            </w:pPr>
            <w:r>
              <w:rPr>
                <w:sz w:val="4"/>
                <w:szCs w:val="4"/>
              </w:rPr>
            </w:r>
          </w:p>
        </w:tc>
      </w:tr>
      <w:tr>
        <w:trPr/>
        <w:tc>
          <w:tcPr>
            <w:tcW w:w="427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w:t>
            </w:r>
          </w:p>
        </w:tc>
        <w:tc>
          <w:tcPr>
            <w:tcW w:w="1903" w:type="dxa"/>
            <w:gridSpan w:val="5"/>
            <w:tcBorders/>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(In millions)</w:t>
            </w:r>
          </w:p>
        </w:tc>
      </w:tr>
      <w:tr>
        <w:trPr/>
        <w:tc>
          <w:tcPr>
            <w:tcW w:w="427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Net cash provided by (used in) operating activities:</w:t>
            </w:r>
          </w:p>
        </w:tc>
        <w:tc>
          <w:tcPr>
            <w:tcW w:w="346" w:type="dxa"/>
            <w:tcBorders/>
            <w:shd w:fill="CCEEFF" w:val="clear"/>
            <w:vAlign w:val="center"/>
          </w:tcPr>
          <w:p>
            <w:pPr>
              <w:pStyle w:val="TableContents"/>
              <w:bidi w:val="0"/>
              <w:spacing w:before="0" w:after="1"/>
              <w:ind w:left="0" w:right="0" w:hanging="0"/>
              <w:jc w:val="left"/>
              <w:rPr/>
            </w:pPr>
            <w:r>
              <w:rPr/>
              <w:t> </w:t>
            </w:r>
          </w:p>
        </w:tc>
        <w:tc>
          <w:tcPr>
            <w:tcW w:w="213" w:type="dxa"/>
            <w:tcBorders/>
            <w:shd w:fill="CCEEFF" w:val="clear"/>
            <w:vAlign w:val="center"/>
          </w:tcPr>
          <w:p>
            <w:pPr>
              <w:pStyle w:val="TableContents"/>
              <w:bidi w:val="0"/>
              <w:spacing w:before="0" w:after="1"/>
              <w:ind w:left="0" w:right="0" w:hanging="0"/>
              <w:jc w:val="left"/>
              <w:rPr/>
            </w:pPr>
            <w:r>
              <w:rPr/>
              <w:t>​</w:t>
            </w:r>
          </w:p>
        </w:tc>
        <w:tc>
          <w:tcPr>
            <w:tcW w:w="594" w:type="dxa"/>
            <w:tcBorders/>
            <w:shd w:fill="CCEEFF" w:val="clear"/>
            <w:vAlign w:val="center"/>
          </w:tcPr>
          <w:p>
            <w:pPr>
              <w:pStyle w:val="TableContents"/>
              <w:bidi w:val="0"/>
              <w:spacing w:before="0" w:after="1"/>
              <w:ind w:left="0" w:right="0" w:hanging="0"/>
              <w:jc w:val="right"/>
              <w:rPr/>
            </w:pPr>
            <w:r>
              <w:rPr/>
              <w:t>  ​</w:t>
            </w:r>
          </w:p>
        </w:tc>
        <w:tc>
          <w:tcPr>
            <w:tcW w:w="350" w:type="dxa"/>
            <w:tcBorders/>
            <w:shd w:fill="CCEEFF" w:val="clear"/>
            <w:vAlign w:val="center"/>
          </w:tcPr>
          <w:p>
            <w:pPr>
              <w:pStyle w:val="TableContents"/>
              <w:bidi w:val="0"/>
              <w:spacing w:before="0" w:after="1"/>
              <w:ind w:left="0" w:right="0" w:hanging="0"/>
              <w:jc w:val="left"/>
              <w:rPr/>
            </w:pPr>
            <w:r>
              <w:rPr/>
              <w:t> </w:t>
            </w:r>
          </w:p>
        </w:tc>
        <w:tc>
          <w:tcPr>
            <w:tcW w:w="213" w:type="dxa"/>
            <w:tcBorders/>
            <w:shd w:fill="CCEEFF" w:val="clear"/>
            <w:vAlign w:val="center"/>
          </w:tcPr>
          <w:p>
            <w:pPr>
              <w:pStyle w:val="TableContents"/>
              <w:bidi w:val="0"/>
              <w:spacing w:before="0" w:after="1"/>
              <w:ind w:left="0" w:right="0" w:hanging="0"/>
              <w:jc w:val="left"/>
              <w:rPr/>
            </w:pPr>
            <w:r>
              <w:rPr/>
              <w:t>​</w:t>
            </w:r>
          </w:p>
        </w:tc>
        <w:tc>
          <w:tcPr>
            <w:tcW w:w="533" w:type="dxa"/>
            <w:tcBorders/>
            <w:shd w:fill="CCEEFF" w:val="clear"/>
            <w:vAlign w:val="center"/>
          </w:tcPr>
          <w:p>
            <w:pPr>
              <w:pStyle w:val="TableContents"/>
              <w:bidi w:val="0"/>
              <w:spacing w:before="0" w:after="1"/>
              <w:ind w:left="0" w:right="0" w:hanging="0"/>
              <w:jc w:val="right"/>
              <w:rPr/>
            </w:pPr>
            <w:r>
              <w:rPr/>
              <w:t>  ​</w:t>
            </w:r>
          </w:p>
        </w:tc>
      </w:tr>
      <w:tr>
        <w:trPr/>
        <w:tc>
          <w:tcPr>
            <w:tcW w:w="427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CompX</w:t>
            </w:r>
          </w:p>
        </w:tc>
        <w:tc>
          <w:tcPr>
            <w:tcW w:w="346" w:type="dxa"/>
            <w:tcBorders/>
            <w:vAlign w:val="center"/>
          </w:tcPr>
          <w:p>
            <w:pPr>
              <w:pStyle w:val="TableContents"/>
              <w:bidi w:val="0"/>
              <w:spacing w:before="0" w:after="1"/>
              <w:ind w:left="0" w:right="0" w:hanging="0"/>
              <w:jc w:val="left"/>
              <w:rPr/>
            </w:pPr>
            <w:r>
              <w:rPr/>
              <w:t>​</w:t>
            </w:r>
          </w:p>
        </w:tc>
        <w:tc>
          <w:tcPr>
            <w:tcW w:w="213"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594"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w:t>
            </w:r>
          </w:p>
        </w:tc>
        <w:tc>
          <w:tcPr>
            <w:tcW w:w="350" w:type="dxa"/>
            <w:tcBorders/>
            <w:vAlign w:val="center"/>
          </w:tcPr>
          <w:p>
            <w:pPr>
              <w:pStyle w:val="TableContents"/>
              <w:bidi w:val="0"/>
              <w:spacing w:before="0" w:after="1"/>
              <w:ind w:left="0" w:right="0" w:hanging="0"/>
              <w:jc w:val="left"/>
              <w:rPr/>
            </w:pPr>
            <w:r>
              <w:rPr/>
              <w:t>​</w:t>
            </w:r>
          </w:p>
        </w:tc>
        <w:tc>
          <w:tcPr>
            <w:tcW w:w="213" w:type="dxa"/>
            <w:tcBorders/>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w:t>
            </w:r>
          </w:p>
        </w:tc>
        <w:tc>
          <w:tcPr>
            <w:tcW w:w="533" w:type="dxa"/>
            <w:tcBorders/>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(1.1)</w:t>
            </w:r>
          </w:p>
        </w:tc>
      </w:tr>
      <w:tr>
        <w:trPr/>
        <w:tc>
          <w:tcPr>
            <w:tcW w:w="427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NL Parent and wholly-owned subsidiaries</w:t>
            </w:r>
          </w:p>
        </w:tc>
        <w:tc>
          <w:tcPr>
            <w:tcW w:w="346" w:type="dxa"/>
            <w:tcBorders/>
            <w:shd w:fill="CCEEFF" w:val="clear"/>
            <w:vAlign w:val="center"/>
          </w:tcPr>
          <w:p>
            <w:pPr>
              <w:pStyle w:val="TableContents"/>
              <w:bidi w:val="0"/>
              <w:spacing w:before="0" w:after="1"/>
              <w:ind w:left="0" w:right="0" w:hanging="0"/>
              <w:jc w:val="left"/>
              <w:rPr/>
            </w:pPr>
            <w:r>
              <w:rPr/>
              <w:t>​</w:t>
            </w:r>
          </w:p>
        </w:tc>
        <w:tc>
          <w:tcPr>
            <w:tcW w:w="213" w:type="dxa"/>
            <w:tcBorders/>
            <w:shd w:fill="CCEEFF" w:val="clear"/>
            <w:vAlign w:val="center"/>
          </w:tcPr>
          <w:p>
            <w:pPr>
              <w:pStyle w:val="TableContents"/>
              <w:bidi w:val="0"/>
              <w:spacing w:before="0" w:after="1"/>
              <w:ind w:left="0" w:right="0" w:hanging="0"/>
              <w:jc w:val="left"/>
              <w:rPr/>
            </w:pPr>
            <w:r>
              <w:rPr/>
              <w:t> </w:t>
            </w:r>
          </w:p>
        </w:tc>
        <w:tc>
          <w:tcPr>
            <w:tcW w:w="594"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(44.1)</w:t>
            </w:r>
          </w:p>
        </w:tc>
        <w:tc>
          <w:tcPr>
            <w:tcW w:w="350" w:type="dxa"/>
            <w:tcBorders/>
            <w:shd w:fill="CCEEFF" w:val="clear"/>
            <w:vAlign w:val="center"/>
          </w:tcPr>
          <w:p>
            <w:pPr>
              <w:pStyle w:val="TableContents"/>
              <w:bidi w:val="0"/>
              <w:spacing w:before="0" w:after="1"/>
              <w:ind w:left="0" w:right="0" w:hanging="0"/>
              <w:jc w:val="left"/>
              <w:rPr/>
            </w:pPr>
            <w:r>
              <w:rPr/>
              <w:t>​</w:t>
            </w:r>
          </w:p>
        </w:tc>
        <w:tc>
          <w:tcPr>
            <w:tcW w:w="213" w:type="dxa"/>
            <w:tcBorders/>
            <w:shd w:fill="CCEEFF" w:val="clear"/>
            <w:vAlign w:val="center"/>
          </w:tcPr>
          <w:p>
            <w:pPr>
              <w:pStyle w:val="TableContents"/>
              <w:bidi w:val="0"/>
              <w:spacing w:before="0" w:after="1"/>
              <w:ind w:left="0" w:right="0" w:hanging="0"/>
              <w:jc w:val="left"/>
              <w:rPr/>
            </w:pPr>
            <w:r>
              <w:rPr/>
              <w:t> </w:t>
            </w:r>
          </w:p>
        </w:tc>
        <w:tc>
          <w:tcPr>
            <w:tcW w:w="533" w:type="dxa"/>
            <w:tcBorders/>
            <w:shd w:fill="CCEEFF" w:val="cle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.8</w:t>
            </w:r>
          </w:p>
        </w:tc>
      </w:tr>
      <w:tr>
        <w:trPr/>
        <w:tc>
          <w:tcPr>
            <w:tcW w:w="427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Eliminations</w:t>
            </w:r>
          </w:p>
        </w:tc>
        <w:tc>
          <w:tcPr>
            <w:tcW w:w="346" w:type="dxa"/>
            <w:tcBorders/>
            <w:vAlign w:val="center"/>
          </w:tcPr>
          <w:p>
            <w:pPr>
              <w:pStyle w:val="TableContents"/>
              <w:bidi w:val="0"/>
              <w:spacing w:before="0" w:after="1"/>
              <w:ind w:left="0" w:right="0" w:hanging="0"/>
              <w:jc w:val="left"/>
              <w:rPr/>
            </w:pPr>
            <w:r>
              <w:rPr/>
              <w:t>​</w:t>
            </w:r>
          </w:p>
        </w:tc>
        <w:tc>
          <w:tcPr>
            <w:tcW w:w="213"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594"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(3.3)</w:t>
            </w:r>
          </w:p>
        </w:tc>
        <w:tc>
          <w:tcPr>
            <w:tcW w:w="350" w:type="dxa"/>
            <w:tcBorders/>
            <w:vAlign w:val="center"/>
          </w:tcPr>
          <w:p>
            <w:pPr>
              <w:pStyle w:val="TableContents"/>
              <w:bidi w:val="0"/>
              <w:spacing w:before="0" w:after="1"/>
              <w:ind w:left="0" w:right="0" w:hanging="0"/>
              <w:jc w:val="left"/>
              <w:rPr/>
            </w:pPr>
            <w:r>
              <w:rPr/>
              <w:t>​</w:t>
            </w:r>
          </w:p>
        </w:tc>
        <w:tc>
          <w:tcPr>
            <w:tcW w:w="213"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533"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(3.2)</w:t>
            </w:r>
          </w:p>
        </w:tc>
      </w:tr>
      <w:tr>
        <w:trPr/>
        <w:tc>
          <w:tcPr>
            <w:tcW w:w="427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Total</w:t>
            </w:r>
          </w:p>
        </w:tc>
        <w:tc>
          <w:tcPr>
            <w:tcW w:w="346" w:type="dxa"/>
            <w:tcBorders/>
            <w:shd w:fill="CCEEFF" w:val="clear"/>
            <w:vAlign w:val="center"/>
          </w:tcPr>
          <w:p>
            <w:pPr>
              <w:pStyle w:val="TableContents"/>
              <w:bidi w:val="0"/>
              <w:spacing w:before="0" w:after="1"/>
              <w:ind w:left="0" w:right="0" w:hanging="0"/>
              <w:jc w:val="left"/>
              <w:rPr/>
            </w:pPr>
            <w:r>
              <w:rPr/>
              <w:t>​</w:t>
            </w:r>
          </w:p>
        </w:tc>
        <w:tc>
          <w:tcPr>
            <w:tcW w:w="213"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594"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(47.5)</w:t>
            </w:r>
          </w:p>
        </w:tc>
        <w:tc>
          <w:tcPr>
            <w:tcW w:w="350" w:type="dxa"/>
            <w:tcBorders/>
            <w:shd w:fill="CCEEFF" w:val="clear"/>
            <w:vAlign w:val="center"/>
          </w:tcPr>
          <w:p>
            <w:pPr>
              <w:pStyle w:val="TableContents"/>
              <w:bidi w:val="0"/>
              <w:spacing w:before="0" w:after="1"/>
              <w:ind w:left="0" w:right="0" w:hanging="0"/>
              <w:jc w:val="left"/>
              <w:rPr/>
            </w:pPr>
            <w:r>
              <w:rPr/>
              <w:t>​</w:t>
            </w:r>
          </w:p>
        </w:tc>
        <w:tc>
          <w:tcPr>
            <w:tcW w:w="213"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w:t>
            </w:r>
          </w:p>
        </w:tc>
        <w:tc>
          <w:tcPr>
            <w:tcW w:w="533"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(3.5)</w:t>
            </w:r>
          </w:p>
        </w:tc>
      </w:tr>
    </w:tbl>
    <w:p>
      <w:pPr>
        <w:pStyle w:val="TextBody"/>
        <w:bidi w:val="0"/>
        <w:spacing w:before="240" w:after="240"/>
        <w:ind w:left="0" w:right="0" w:firstLine="720"/>
        <w:jc w:val="both"/>
        <w:rPr>
          <w:rFonts w:ascii="Times New Roman;Times;serif" w:hAnsi="Times New Roman;Times;serif"/>
          <w:sz w:val="20"/>
        </w:rPr>
      </w:pPr>
      <w:r>
        <w:rPr>
          <w:rFonts w:ascii="Times New Roman;Times;serif" w:hAnsi="Times New Roman;Times;serif"/>
          <w:sz w:val="20"/>
        </w:rPr>
        <w:t>Relative changes in working capital can have a significant effect on cash flows from operating activities. As shown below, the change in average days sales outstanding increased from December 31, 2025 to March 31, 2026 primarily as a result of relative changes in the timing of sales and collections relative to the end of the quarter. Total average number of days in inventory decreased from December 31, 2025 to March 31, 2026 primarily due to higher sales volumes in the first quarter of 2026 as compared to the fourth quarter of 2025 at CompX’s Marine Components reporting unit. For comparative purposes, we have provided December 31, 2024 and March 31, 2025 numbers below.</w:t>
      </w:r>
    </w:p>
    <w:tbl>
      <w:tblPr>
        <w:tblW w:w="8064" w:type="dxa"/>
        <w:jc w:val="left"/>
        <w:tblInd w:w="0" w:type="dxa"/>
        <w:tblLayout w:type="fixed"/>
        <w:tblCellMar>
          <w:top w:w="0" w:type="dxa"/>
          <w:left w:w="0" w:type="dxa"/>
          <w:bottom w:w="0" w:type="dxa"/>
          <w:right w:w="0" w:type="dxa"/>
        </w:tblCellMar>
      </w:tblPr>
      <w:tblGrid>
        <w:gridCol w:w="1981"/>
        <w:gridCol w:w="346"/>
        <w:gridCol w:w="1306"/>
        <w:gridCol w:w="346"/>
        <w:gridCol w:w="1021"/>
        <w:gridCol w:w="346"/>
        <w:gridCol w:w="1306"/>
        <w:gridCol w:w="346"/>
        <w:gridCol w:w="1066"/>
      </w:tblGrid>
      <w:tr>
        <w:trPr/>
        <w:tc>
          <w:tcPr>
            <w:tcW w:w="19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5">
                      <wp:simplePos x="0" y="0"/>
                      <wp:positionH relativeFrom="character">
                        <wp:align>left</wp:align>
                      </wp:positionH>
                      <wp:positionV relativeFrom="line">
                        <wp:posOffset>635</wp:posOffset>
                      </wp:positionV>
                      <wp:extent cx="1257935" cy="175260"/>
                      <wp:effectExtent l="0" t="0" r="0" b="0"/>
                      <wp:wrapNone/>
                      <wp:docPr id="254" name="Frame254"/>
                      <a:graphic xmlns:a="http://schemas.openxmlformats.org/drawingml/2006/main">
                        <a:graphicData uri="http://schemas.microsoft.com/office/word/2010/wordprocessingShape">
                          <wps:wsp>
                            <wps:cNvSpPr txBox="1"/>
                            <wps:spPr>
                              <a:xfrm>
                                <a:off x="0" y="0"/>
                                <a:ext cx="12579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6">
                      <wp:simplePos x="0" y="0"/>
                      <wp:positionH relativeFrom="character">
                        <wp:align>left</wp:align>
                      </wp:positionH>
                      <wp:positionV relativeFrom="line">
                        <wp:posOffset>635</wp:posOffset>
                      </wp:positionV>
                      <wp:extent cx="219710" cy="175260"/>
                      <wp:effectExtent l="0" t="0" r="0" b="0"/>
                      <wp:wrapNone/>
                      <wp:docPr id="255" name="Frame255"/>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3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7">
                      <wp:simplePos x="0" y="0"/>
                      <wp:positionH relativeFrom="character">
                        <wp:align>left</wp:align>
                      </wp:positionH>
                      <wp:positionV relativeFrom="line">
                        <wp:posOffset>635</wp:posOffset>
                      </wp:positionV>
                      <wp:extent cx="829310" cy="175260"/>
                      <wp:effectExtent l="0" t="0" r="0" b="0"/>
                      <wp:wrapNone/>
                      <wp:docPr id="256" name="Frame256"/>
                      <a:graphic xmlns:a="http://schemas.openxmlformats.org/drawingml/2006/main">
                        <a:graphicData uri="http://schemas.microsoft.com/office/word/2010/wordprocessingShape">
                          <wps:wsp>
                            <wps:cNvSpPr txBox="1"/>
                            <wps:spPr>
                              <a:xfrm>
                                <a:off x="0" y="0"/>
                                <a:ext cx="8293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5.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8">
                      <wp:simplePos x="0" y="0"/>
                      <wp:positionH relativeFrom="character">
                        <wp:align>left</wp:align>
                      </wp:positionH>
                      <wp:positionV relativeFrom="line">
                        <wp:posOffset>635</wp:posOffset>
                      </wp:positionV>
                      <wp:extent cx="219710" cy="175260"/>
                      <wp:effectExtent l="0" t="0" r="0" b="0"/>
                      <wp:wrapNone/>
                      <wp:docPr id="257" name="Frame257"/>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9">
                      <wp:simplePos x="0" y="0"/>
                      <wp:positionH relativeFrom="character">
                        <wp:align>left</wp:align>
                      </wp:positionH>
                      <wp:positionV relativeFrom="line">
                        <wp:posOffset>635</wp:posOffset>
                      </wp:positionV>
                      <wp:extent cx="648335" cy="175260"/>
                      <wp:effectExtent l="0" t="0" r="0" b="0"/>
                      <wp:wrapNone/>
                      <wp:docPr id="258" name="Frame258"/>
                      <a:graphic xmlns:a="http://schemas.openxmlformats.org/drawingml/2006/main">
                        <a:graphicData uri="http://schemas.microsoft.com/office/word/2010/wordprocessingShape">
                          <wps:wsp>
                            <wps:cNvSpPr txBox="1"/>
                            <wps:spPr>
                              <a:xfrm>
                                <a:off x="0" y="0"/>
                                <a:ext cx="6483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0">
                      <wp:simplePos x="0" y="0"/>
                      <wp:positionH relativeFrom="character">
                        <wp:align>left</wp:align>
                      </wp:positionH>
                      <wp:positionV relativeFrom="line">
                        <wp:posOffset>635</wp:posOffset>
                      </wp:positionV>
                      <wp:extent cx="219710" cy="175260"/>
                      <wp:effectExtent l="0" t="0" r="0" b="0"/>
                      <wp:wrapNone/>
                      <wp:docPr id="259" name="Frame259"/>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3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1">
                      <wp:simplePos x="0" y="0"/>
                      <wp:positionH relativeFrom="character">
                        <wp:align>left</wp:align>
                      </wp:positionH>
                      <wp:positionV relativeFrom="line">
                        <wp:posOffset>635</wp:posOffset>
                      </wp:positionV>
                      <wp:extent cx="829310" cy="175260"/>
                      <wp:effectExtent l="0" t="0" r="0" b="0"/>
                      <wp:wrapNone/>
                      <wp:docPr id="260" name="Frame260"/>
                      <a:graphic xmlns:a="http://schemas.openxmlformats.org/drawingml/2006/main">
                        <a:graphicData uri="http://schemas.microsoft.com/office/word/2010/wordprocessingShape">
                          <wps:wsp>
                            <wps:cNvSpPr txBox="1"/>
                            <wps:spPr>
                              <a:xfrm>
                                <a:off x="0" y="0"/>
                                <a:ext cx="8293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5.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2">
                      <wp:simplePos x="0" y="0"/>
                      <wp:positionH relativeFrom="character">
                        <wp:align>left</wp:align>
                      </wp:positionH>
                      <wp:positionV relativeFrom="line">
                        <wp:posOffset>635</wp:posOffset>
                      </wp:positionV>
                      <wp:extent cx="219710" cy="175260"/>
                      <wp:effectExtent l="0" t="0" r="0" b="0"/>
                      <wp:wrapNone/>
                      <wp:docPr id="261" name="Frame261"/>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3">
                      <wp:simplePos x="0" y="0"/>
                      <wp:positionH relativeFrom="character">
                        <wp:align>left</wp:align>
                      </wp:positionH>
                      <wp:positionV relativeFrom="line">
                        <wp:posOffset>635</wp:posOffset>
                      </wp:positionV>
                      <wp:extent cx="676910" cy="175260"/>
                      <wp:effectExtent l="0" t="0" r="0" b="0"/>
                      <wp:wrapNone/>
                      <wp:docPr id="262" name="Frame262"/>
                      <a:graphic xmlns:a="http://schemas.openxmlformats.org/drawingml/2006/main">
                        <a:graphicData uri="http://schemas.microsoft.com/office/word/2010/wordprocessingShape">
                          <wps:wsp>
                            <wps:cNvSpPr txBox="1"/>
                            <wps:spPr>
                              <a:xfrm>
                                <a:off x="0" y="0"/>
                                <a:ext cx="6769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3.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198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  ​ ​ ​</w:t>
            </w:r>
          </w:p>
        </w:tc>
        <w:tc>
          <w:tcPr>
            <w:tcW w:w="1306" w:type="dxa"/>
            <w:tcBorders/>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December 31, </w:t>
            </w:r>
          </w:p>
        </w:tc>
        <w:tc>
          <w:tcPr>
            <w:tcW w:w="346" w:type="dxa"/>
            <w:tcBorders/>
            <w:vAlign w:val="center"/>
          </w:tcPr>
          <w:p>
            <w:pPr>
              <w:pStyle w:val="TableContents"/>
              <w:bidi w:val="0"/>
              <w:spacing w:before="0" w:after="1"/>
              <w:ind w:left="0" w:right="0" w:hanging="0"/>
              <w:jc w:val="center"/>
              <w:rPr/>
            </w:pPr>
            <w:r>
              <w:rPr/>
              <w:t>  ​ ​ ​</w:t>
            </w:r>
          </w:p>
        </w:tc>
        <w:tc>
          <w:tcPr>
            <w:tcW w:w="1021" w:type="dxa"/>
            <w:tcBorders/>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March 31, </w:t>
            </w:r>
          </w:p>
        </w:tc>
        <w:tc>
          <w:tcPr>
            <w:tcW w:w="346" w:type="dxa"/>
            <w:tcBorders/>
            <w:vAlign w:val="center"/>
          </w:tcPr>
          <w:p>
            <w:pPr>
              <w:pStyle w:val="TableContents"/>
              <w:bidi w:val="0"/>
              <w:spacing w:before="0" w:after="1"/>
              <w:ind w:left="0" w:right="0" w:hanging="0"/>
              <w:jc w:val="center"/>
              <w:rPr/>
            </w:pPr>
            <w:r>
              <w:rPr/>
              <w:t>​</w:t>
            </w:r>
          </w:p>
        </w:tc>
        <w:tc>
          <w:tcPr>
            <w:tcW w:w="1306" w:type="dxa"/>
            <w:tcBorders/>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December 31, </w:t>
            </w:r>
          </w:p>
        </w:tc>
        <w:tc>
          <w:tcPr>
            <w:tcW w:w="346" w:type="dxa"/>
            <w:tcBorders/>
            <w:vAlign w:val="center"/>
          </w:tcPr>
          <w:p>
            <w:pPr>
              <w:pStyle w:val="TableContents"/>
              <w:bidi w:val="0"/>
              <w:spacing w:before="0" w:after="1"/>
              <w:ind w:left="0" w:right="0" w:hanging="0"/>
              <w:jc w:val="center"/>
              <w:rPr/>
            </w:pPr>
            <w:r>
              <w:rPr/>
              <w:t>​</w:t>
            </w:r>
          </w:p>
        </w:tc>
        <w:tc>
          <w:tcPr>
            <w:tcW w:w="1066" w:type="dxa"/>
            <w:tcBorders/>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March 31, </w:t>
            </w:r>
          </w:p>
        </w:tc>
      </w:tr>
      <w:tr>
        <w:trPr/>
        <w:tc>
          <w:tcPr>
            <w:tcW w:w="198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  ​ ​ ​</w:t>
            </w:r>
          </w:p>
        </w:tc>
        <w:tc>
          <w:tcPr>
            <w:tcW w:w="1306"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2024</w:t>
            </w:r>
          </w:p>
        </w:tc>
        <w:tc>
          <w:tcPr>
            <w:tcW w:w="346" w:type="dxa"/>
            <w:tcBorders/>
            <w:vAlign w:val="center"/>
          </w:tcPr>
          <w:p>
            <w:pPr>
              <w:pStyle w:val="TableContents"/>
              <w:bidi w:val="0"/>
              <w:spacing w:before="0" w:after="1"/>
              <w:ind w:left="0" w:right="0" w:hanging="0"/>
              <w:jc w:val="center"/>
              <w:rPr/>
            </w:pPr>
            <w:r>
              <w:rPr/>
              <w:t>  ​ ​ ​</w:t>
            </w:r>
          </w:p>
        </w:tc>
        <w:tc>
          <w:tcPr>
            <w:tcW w:w="1021"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2025</w:t>
            </w:r>
          </w:p>
        </w:tc>
        <w:tc>
          <w:tcPr>
            <w:tcW w:w="346" w:type="dxa"/>
            <w:tcBorders/>
            <w:vAlign w:val="center"/>
          </w:tcPr>
          <w:p>
            <w:pPr>
              <w:pStyle w:val="TableContents"/>
              <w:bidi w:val="0"/>
              <w:spacing w:before="0" w:after="1"/>
              <w:ind w:left="0" w:right="0" w:hanging="0"/>
              <w:jc w:val="center"/>
              <w:rPr/>
            </w:pPr>
            <w:r>
              <w:rPr/>
              <w:t>  ​ ​ ​</w:t>
            </w:r>
          </w:p>
        </w:tc>
        <w:tc>
          <w:tcPr>
            <w:tcW w:w="1306"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2025</w:t>
            </w:r>
          </w:p>
        </w:tc>
        <w:tc>
          <w:tcPr>
            <w:tcW w:w="346" w:type="dxa"/>
            <w:tcBorders/>
            <w:vAlign w:val="center"/>
          </w:tcPr>
          <w:p>
            <w:pPr>
              <w:pStyle w:val="TableContents"/>
              <w:bidi w:val="0"/>
              <w:spacing w:before="0" w:after="1"/>
              <w:ind w:left="0" w:right="0" w:hanging="0"/>
              <w:jc w:val="center"/>
              <w:rPr/>
            </w:pPr>
            <w:r>
              <w:rPr/>
              <w:t>  ​ ​ ​</w:t>
            </w:r>
          </w:p>
        </w:tc>
        <w:tc>
          <w:tcPr>
            <w:tcW w:w="1066"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2026</w:t>
            </w:r>
          </w:p>
        </w:tc>
      </w:tr>
      <w:tr>
        <w:trPr/>
        <w:tc>
          <w:tcPr>
            <w:tcW w:w="198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Days sales outstanding</w:t>
            </w:r>
          </w:p>
        </w:tc>
        <w:tc>
          <w:tcPr>
            <w:tcW w:w="346" w:type="dxa"/>
            <w:tcBorders/>
            <w:shd w:fill="CCEEFF" w:val="clear"/>
            <w:vAlign w:val="center"/>
          </w:tcPr>
          <w:p>
            <w:pPr>
              <w:pStyle w:val="TableContents"/>
              <w:bidi w:val="0"/>
              <w:spacing w:before="0" w:after="1"/>
              <w:ind w:left="0" w:right="0" w:hanging="0"/>
              <w:jc w:val="left"/>
              <w:rPr/>
            </w:pPr>
            <w:r>
              <w:rPr/>
              <w:t> </w:t>
            </w:r>
          </w:p>
        </w:tc>
        <w:tc>
          <w:tcPr>
            <w:tcW w:w="1306" w:type="dxa"/>
            <w:tcBorders/>
            <w:shd w:fill="CCEEFF" w:val="clear"/>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33 days</w:t>
            </w:r>
          </w:p>
        </w:tc>
        <w:tc>
          <w:tcPr>
            <w:tcW w:w="346" w:type="dxa"/>
            <w:tcBorders/>
            <w:shd w:fill="CCEEFF" w:val="clear"/>
            <w:vAlign w:val="center"/>
          </w:tcPr>
          <w:p>
            <w:pPr>
              <w:pStyle w:val="TableContents"/>
              <w:bidi w:val="0"/>
              <w:spacing w:before="0" w:after="1"/>
              <w:ind w:left="0" w:right="0" w:hanging="0"/>
              <w:jc w:val="center"/>
              <w:rPr/>
            </w:pPr>
            <w:r>
              <w:rPr/>
              <w:t> </w:t>
            </w:r>
          </w:p>
        </w:tc>
        <w:tc>
          <w:tcPr>
            <w:tcW w:w="1021" w:type="dxa"/>
            <w:tcBorders/>
            <w:shd w:fill="CCEEFF" w:val="clear"/>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41 days</w:t>
            </w:r>
          </w:p>
        </w:tc>
        <w:tc>
          <w:tcPr>
            <w:tcW w:w="346" w:type="dxa"/>
            <w:tcBorders/>
            <w:shd w:fill="CCEEFF" w:val="clear"/>
            <w:vAlign w:val="center"/>
          </w:tcPr>
          <w:p>
            <w:pPr>
              <w:pStyle w:val="TableContents"/>
              <w:bidi w:val="0"/>
              <w:spacing w:before="0" w:after="1"/>
              <w:ind w:left="0" w:right="0" w:hanging="0"/>
              <w:jc w:val="center"/>
              <w:rPr/>
            </w:pPr>
            <w:r>
              <w:rPr/>
              <w:t> </w:t>
            </w:r>
          </w:p>
        </w:tc>
        <w:tc>
          <w:tcPr>
            <w:tcW w:w="1306" w:type="dxa"/>
            <w:tcBorders/>
            <w:shd w:fill="CCEEFF" w:val="clear"/>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33 days</w:t>
            </w:r>
          </w:p>
        </w:tc>
        <w:tc>
          <w:tcPr>
            <w:tcW w:w="346" w:type="dxa"/>
            <w:tcBorders/>
            <w:shd w:fill="CCEEFF" w:val="clear"/>
            <w:vAlign w:val="center"/>
          </w:tcPr>
          <w:p>
            <w:pPr>
              <w:pStyle w:val="TableContents"/>
              <w:bidi w:val="0"/>
              <w:spacing w:before="0" w:after="1"/>
              <w:ind w:left="0" w:right="0" w:hanging="0"/>
              <w:jc w:val="center"/>
              <w:rPr/>
            </w:pPr>
            <w:r>
              <w:rPr/>
              <w:t> </w:t>
            </w:r>
          </w:p>
        </w:tc>
        <w:tc>
          <w:tcPr>
            <w:tcW w:w="1066" w:type="dxa"/>
            <w:tcBorders/>
            <w:shd w:fill="CCEEFF" w:val="clear"/>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43 days</w:t>
            </w:r>
          </w:p>
        </w:tc>
      </w:tr>
      <w:tr>
        <w:trPr/>
        <w:tc>
          <w:tcPr>
            <w:tcW w:w="198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Days in inventory</w:t>
            </w:r>
          </w:p>
        </w:tc>
        <w:tc>
          <w:tcPr>
            <w:tcW w:w="346" w:type="dxa"/>
            <w:tcBorders/>
            <w:vAlign w:val="center"/>
          </w:tcPr>
          <w:p>
            <w:pPr>
              <w:pStyle w:val="TableContents"/>
              <w:bidi w:val="0"/>
              <w:spacing w:before="0" w:after="1"/>
              <w:ind w:left="0" w:right="0" w:hanging="0"/>
              <w:jc w:val="left"/>
              <w:rPr/>
            </w:pPr>
            <w:r>
              <w:rPr/>
              <w:t> </w:t>
            </w:r>
          </w:p>
        </w:tc>
        <w:tc>
          <w:tcPr>
            <w:tcW w:w="1306" w:type="dxa"/>
            <w:tcBorders/>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94 days</w:t>
            </w:r>
          </w:p>
        </w:tc>
        <w:tc>
          <w:tcPr>
            <w:tcW w:w="346" w:type="dxa"/>
            <w:tcBorders/>
            <w:vAlign w:val="center"/>
          </w:tcPr>
          <w:p>
            <w:pPr>
              <w:pStyle w:val="TableContents"/>
              <w:bidi w:val="0"/>
              <w:spacing w:before="0" w:after="1"/>
              <w:ind w:left="0" w:right="0" w:hanging="0"/>
              <w:jc w:val="center"/>
              <w:rPr/>
            </w:pPr>
            <w:r>
              <w:rPr/>
              <w:t> </w:t>
            </w:r>
          </w:p>
        </w:tc>
        <w:tc>
          <w:tcPr>
            <w:tcW w:w="1021" w:type="dxa"/>
            <w:tcBorders/>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94 days</w:t>
            </w:r>
          </w:p>
        </w:tc>
        <w:tc>
          <w:tcPr>
            <w:tcW w:w="346" w:type="dxa"/>
            <w:tcBorders/>
            <w:vAlign w:val="center"/>
          </w:tcPr>
          <w:p>
            <w:pPr>
              <w:pStyle w:val="TableContents"/>
              <w:bidi w:val="0"/>
              <w:spacing w:before="0" w:after="1"/>
              <w:ind w:left="0" w:right="0" w:hanging="0"/>
              <w:jc w:val="center"/>
              <w:rPr/>
            </w:pPr>
            <w:r>
              <w:rPr/>
              <w:t> </w:t>
            </w:r>
          </w:p>
        </w:tc>
        <w:tc>
          <w:tcPr>
            <w:tcW w:w="1306" w:type="dxa"/>
            <w:tcBorders/>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108 days</w:t>
            </w:r>
          </w:p>
        </w:tc>
        <w:tc>
          <w:tcPr>
            <w:tcW w:w="346" w:type="dxa"/>
            <w:tcBorders/>
            <w:vAlign w:val="center"/>
          </w:tcPr>
          <w:p>
            <w:pPr>
              <w:pStyle w:val="TableContents"/>
              <w:bidi w:val="0"/>
              <w:spacing w:before="0" w:after="1"/>
              <w:ind w:left="0" w:right="0" w:hanging="0"/>
              <w:jc w:val="center"/>
              <w:rPr/>
            </w:pPr>
            <w:r>
              <w:rPr/>
              <w:t> </w:t>
            </w:r>
          </w:p>
        </w:tc>
        <w:tc>
          <w:tcPr>
            <w:tcW w:w="1066" w:type="dxa"/>
            <w:tcBorders/>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100 days</w:t>
            </w:r>
          </w:p>
        </w:tc>
      </w:tr>
    </w:tbl>
    <w:p>
      <w:pPr>
        <w:pStyle w:val="TextBody"/>
        <w:bidi w:val="0"/>
        <w:spacing w:before="0" w:after="240"/>
        <w:ind w:left="0" w:right="0" w:firstLine="720"/>
        <w:jc w:val="both"/>
        <w:rPr/>
      </w:pPr>
      <w:r>
        <w:rPr/>
        <w:t>​</w:t>
      </w:r>
    </w:p>
    <w:p>
      <w:pPr>
        <w:pStyle w:val="TextBody"/>
        <w:bidi w:val="0"/>
        <w:spacing w:before="240" w:after="240"/>
        <w:ind w:left="0" w:right="0" w:hanging="0"/>
        <w:jc w:val="left"/>
        <w:rPr>
          <w:rFonts w:ascii="Times New Roman;Times;serif" w:hAnsi="Times New Roman;Times;serif"/>
          <w:b/>
          <w:i/>
          <w:sz w:val="20"/>
        </w:rPr>
      </w:pPr>
      <w:r>
        <w:rPr>
          <w:rFonts w:ascii="Times New Roman;Times;serif" w:hAnsi="Times New Roman;Times;serif"/>
          <w:b/>
          <w:i/>
          <w:sz w:val="20"/>
        </w:rPr>
        <w:t>Investing activities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Our capital expenditures, all of which relate to CompX, were $.4 million in the first three months of 2026 compared to $.8 million in the first three months of 2025. During the first three months of 2026, Valhi repaid a net $.6 million under the promissory note ($3.1 million of gross borrowings and $3.7 million of gross repayments). During the first three months of 2025, the promissory note balance with Valhi had net activity of nil ($.5 million of gross borrowings and $.5 million of gross repayments).</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Financing activities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 xml:space="preserve">In February 2026, our board of directors declared a quarterly dividend of $.10 per share and in February 2025 our board of directors declared a quarterly dividend of $.09 per share. The declaration and payment of future dividends, and the amount thereof, is discretionary and is dependent upon our financial condition, cash requirements, contractual obligations and restrictions and other factors deemed relevant by our board of directors. The amount and timing of past dividends is not necessarily indicative of the amount or timing of any future dividends which might be paid. There are currently no contractual restrictions on the amount of dividends which we may pay. </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Cash flows from financing activities in each of the first three months of 2025 and 2026 also include CompX dividends paid to its stockholders other than us.</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Outstanding debt obligations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At March 31, 2026, NLKW had outstanding debt obligations of $.5 million under its secured revolving credit facility with Valhi, and CompX did not have any outstanding debt obligations. We are in compliance with all of the covenants contained in our secured revolving credit facility with Valhi at March 31, 2026. See Note 8 to our Condensed Consolidated Financial Statements.</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29</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Future cash requirements</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Liquidity</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Our primary source of liquidity on an ongoing basis is our cash flow from operating activities and credit facilities with affiliates as further discussed below. We generally use these amounts to fund capital expenditures (substantially all of which relate to CompX), pay ongoing environmental remediation and litigation costs and provide for the payment of dividends (if declared).</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At March 31, 2026, we had aggregate restricted and unrestricted cash and cash equivalents of $105.4 million, all of which was held in the U.S. A detail by entity is presented in the table below.</w:t>
      </w:r>
    </w:p>
    <w:tbl>
      <w:tblPr>
        <w:tblW w:w="5027" w:type="dxa"/>
        <w:jc w:val="left"/>
        <w:tblInd w:w="0" w:type="dxa"/>
        <w:tblLayout w:type="fixed"/>
        <w:tblCellMar>
          <w:top w:w="0" w:type="dxa"/>
          <w:left w:w="0" w:type="dxa"/>
          <w:bottom w:w="0" w:type="dxa"/>
          <w:right w:w="0" w:type="dxa"/>
        </w:tblCellMar>
      </w:tblPr>
      <w:tblGrid>
        <w:gridCol w:w="3496"/>
        <w:gridCol w:w="346"/>
        <w:gridCol w:w="282"/>
        <w:gridCol w:w="903"/>
      </w:tblGrid>
      <w:tr>
        <w:trPr/>
        <w:tc>
          <w:tcPr>
            <w:tcW w:w="34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4">
                      <wp:simplePos x="0" y="0"/>
                      <wp:positionH relativeFrom="character">
                        <wp:align>left</wp:align>
                      </wp:positionH>
                      <wp:positionV relativeFrom="line">
                        <wp:posOffset>635</wp:posOffset>
                      </wp:positionV>
                      <wp:extent cx="2219960" cy="175260"/>
                      <wp:effectExtent l="0" t="0" r="0" b="0"/>
                      <wp:wrapNone/>
                      <wp:docPr id="263" name="Frame263"/>
                      <a:graphic xmlns:a="http://schemas.openxmlformats.org/drawingml/2006/main">
                        <a:graphicData uri="http://schemas.microsoft.com/office/word/2010/wordprocessingShape">
                          <wps:wsp>
                            <wps:cNvSpPr txBox="1"/>
                            <wps:spPr>
                              <a:xfrm>
                                <a:off x="0" y="0"/>
                                <a:ext cx="22199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4.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5">
                      <wp:simplePos x="0" y="0"/>
                      <wp:positionH relativeFrom="character">
                        <wp:align>left</wp:align>
                      </wp:positionH>
                      <wp:positionV relativeFrom="line">
                        <wp:posOffset>635</wp:posOffset>
                      </wp:positionV>
                      <wp:extent cx="219710" cy="175260"/>
                      <wp:effectExtent l="0" t="0" r="0" b="0"/>
                      <wp:wrapNone/>
                      <wp:docPr id="264" name="Frame264"/>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8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6">
                      <wp:simplePos x="0" y="0"/>
                      <wp:positionH relativeFrom="character">
                        <wp:align>left</wp:align>
                      </wp:positionH>
                      <wp:positionV relativeFrom="line">
                        <wp:posOffset>635</wp:posOffset>
                      </wp:positionV>
                      <wp:extent cx="179070" cy="175260"/>
                      <wp:effectExtent l="0" t="0" r="0" b="0"/>
                      <wp:wrapNone/>
                      <wp:docPr id="265" name="Frame265"/>
                      <a:graphic xmlns:a="http://schemas.openxmlformats.org/drawingml/2006/main">
                        <a:graphicData uri="http://schemas.microsoft.com/office/word/2010/wordprocessingShape">
                          <wps:wsp>
                            <wps:cNvSpPr txBox="1"/>
                            <wps:spPr>
                              <a:xfrm>
                                <a:off x="0" y="0"/>
                                <a:ext cx="17907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0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7">
                      <wp:simplePos x="0" y="0"/>
                      <wp:positionH relativeFrom="character">
                        <wp:align>left</wp:align>
                      </wp:positionH>
                      <wp:positionV relativeFrom="line">
                        <wp:posOffset>635</wp:posOffset>
                      </wp:positionV>
                      <wp:extent cx="573405" cy="175260"/>
                      <wp:effectExtent l="0" t="0" r="0" b="0"/>
                      <wp:wrapNone/>
                      <wp:docPr id="266" name="Frame266"/>
                      <a:graphic xmlns:a="http://schemas.openxmlformats.org/drawingml/2006/main">
                        <a:graphicData uri="http://schemas.microsoft.com/office/word/2010/wordprocessingShape">
                          <wps:wsp>
                            <wps:cNvSpPr txBox="1"/>
                            <wps:spPr>
                              <a:xfrm>
                                <a:off x="0" y="0"/>
                                <a:ext cx="57340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5.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49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185" w:type="dxa"/>
            <w:gridSpan w:val="2"/>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Amount</w:t>
            </w:r>
          </w:p>
        </w:tc>
      </w:tr>
      <w:tr>
        <w:trPr/>
        <w:tc>
          <w:tcPr>
            <w:tcW w:w="349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18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(In millions)</w:t>
            </w:r>
          </w:p>
        </w:tc>
      </w:tr>
      <w:tr>
        <w:trPr/>
        <w:tc>
          <w:tcPr>
            <w:tcW w:w="349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CompX</w:t>
            </w:r>
          </w:p>
        </w:tc>
        <w:tc>
          <w:tcPr>
            <w:tcW w:w="346" w:type="dxa"/>
            <w:tcBorders/>
            <w:shd w:fill="CCEEFF" w:val="clear"/>
            <w:vAlign w:val="center"/>
          </w:tcPr>
          <w:p>
            <w:pPr>
              <w:pStyle w:val="TableContents"/>
              <w:bidi w:val="0"/>
              <w:spacing w:before="0" w:after="0"/>
              <w:ind w:left="0" w:right="0" w:hanging="0"/>
              <w:jc w:val="left"/>
              <w:rPr/>
            </w:pPr>
            <w:r>
              <w:rPr/>
              <w:t>  ​ ​ ​</w:t>
            </w:r>
          </w:p>
        </w:tc>
        <w:tc>
          <w:tcPr>
            <w:tcW w:w="282"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903"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49.4</w:t>
            </w:r>
          </w:p>
        </w:tc>
      </w:tr>
      <w:tr>
        <w:trPr/>
        <w:tc>
          <w:tcPr>
            <w:tcW w:w="349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NL Parent and wholly-owned subsidiaries</w:t>
            </w:r>
          </w:p>
        </w:tc>
        <w:tc>
          <w:tcPr>
            <w:tcW w:w="346" w:type="dxa"/>
            <w:tcBorders/>
            <w:vAlign w:val="center"/>
          </w:tcPr>
          <w:p>
            <w:pPr>
              <w:pStyle w:val="TableContents"/>
              <w:bidi w:val="0"/>
              <w:spacing w:before="0" w:after="0"/>
              <w:ind w:left="0" w:right="0" w:hanging="0"/>
              <w:jc w:val="left"/>
              <w:rPr/>
            </w:pPr>
            <w:r>
              <w:rPr/>
              <w:t>​</w:t>
            </w:r>
          </w:p>
        </w:tc>
        <w:tc>
          <w:tcPr>
            <w:tcW w:w="282"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903"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56.0</w:t>
            </w:r>
          </w:p>
        </w:tc>
      </w:tr>
      <w:tr>
        <w:trPr/>
        <w:tc>
          <w:tcPr>
            <w:tcW w:w="349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w:t>
            </w:r>
          </w:p>
        </w:tc>
        <w:tc>
          <w:tcPr>
            <w:tcW w:w="346" w:type="dxa"/>
            <w:tcBorders/>
            <w:shd w:fill="CCEEFF" w:val="clear"/>
            <w:vAlign w:val="center"/>
          </w:tcPr>
          <w:p>
            <w:pPr>
              <w:pStyle w:val="TableContents"/>
              <w:bidi w:val="0"/>
              <w:spacing w:before="0" w:after="0"/>
              <w:ind w:left="0" w:right="0" w:hanging="0"/>
              <w:jc w:val="left"/>
              <w:rPr/>
            </w:pPr>
            <w:r>
              <w:rPr/>
              <w:t>​</w:t>
            </w:r>
          </w:p>
        </w:tc>
        <w:tc>
          <w:tcPr>
            <w:tcW w:w="282"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903" w:type="dxa"/>
            <w:tcBorders>
              <w:bottom w:val="double" w:sz="6" w:space="0" w:color="000000"/>
            </w:tcBorders>
            <w:shd w:fill="CCEEFF" w:val="clear"/>
            <w:tcMar>
              <w:bottom w:w="28" w:type="dxa"/>
            </w:tcMar>
            <w:vAlign w:val="center"/>
          </w:tcPr>
          <w:p>
            <w:pPr>
              <w:pStyle w:val="TableContents"/>
              <w:bidi w:val="0"/>
              <w:spacing w:before="0" w:after="0"/>
              <w:ind w:left="0" w:right="60" w:hanging="0"/>
              <w:jc w:val="right"/>
              <w:rPr>
                <w:rFonts w:ascii="Times New Roman;Times;serif" w:hAnsi="Times New Roman;Times;serif"/>
                <w:b/>
                <w:sz w:val="20"/>
              </w:rPr>
            </w:pPr>
            <w:r>
              <w:rPr>
                <w:rFonts w:ascii="Times New Roman;Times;serif" w:hAnsi="Times New Roman;Times;serif"/>
                <w:b/>
                <w:sz w:val="20"/>
              </w:rPr>
              <w:t>105.4</w:t>
            </w:r>
          </w:p>
        </w:tc>
      </w:tr>
    </w:tbl>
    <w:p>
      <w:pPr>
        <w:pStyle w:val="TextBody"/>
        <w:bidi w:val="0"/>
        <w:spacing w:before="0" w:after="0"/>
        <w:ind w:left="0" w:right="0" w:hanging="0"/>
        <w:jc w:val="left"/>
        <w:rPr/>
      </w:pPr>
      <w:r>
        <w:rPr/>
        <w:t>​</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In addition, at March 31, 2026 we owned approximately 1.2 million shares of Valhi common stock with an aggregate market value of $17.1 million. See Note 5 to our Condensed Consolidated Financial Statements. We also owned approximately 35.2 million shares of Kronos common stock at March 31, 2026 with an aggregate market value of $231.4 million. See Note 6 to our Condensed Consolidated Financial Statements.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We routinely compare our liquidity requirements and alternative uses of capital against the estimated future cash flows we expect to receive from our subsidiaries and affiliates. As a result of this process, we have in the past and may in the future seek to raise additional capital, incur debt, repurchase indebtedness in the market or otherwise, modify our dividend policies, consider the sale of our interests in our subsidiaries, affiliates, business, marketable securities or other assets, or take a combination of these and other steps, to increase liquidity, reduce indebtedness and fund future activities. Such activities have in the past and may in the future involve related companies.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We periodically evaluate acquisitions of interests in or combinations with companies (including related companies) perceived by management to be undervalued in the marketplace. These companies may or may not be engaged in businesses related to our current businesses. We intend to consider such acquisition activities in the future and, in connection with this activity, may consider issuing additional equity securities and increasing indebtedness. From time to time, we also evaluate the restructuring of ownership interests among our respective subsidiaries and related companies.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Based upon our expectations of our operating performance, and the anticipated demands on our cash resources we expect to have sufficient liquidity to meet our short-term obligations (defined as the twelve-month period ending March 31, 2027) and long-term obligations (defined as the five-year period ending March 31, 2031) including any amounts CompX might loan from time to time under the terms of its revolving loan to Valhi (which loans would be solely at CompX’s discretion). If actual developments differ materially from our expectations, our liquidity could be adversely affected. In this regard, Valhi has agreed to loan us up to $50 million on a revolving basis. At March 31, 2026, we had $.5 million in outstanding borrowings under this facility, and we had $49.5 million available for future borrowing. See Note 8 to our Condensed Consolidated Financial Statements.</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Capital expenditures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Firm purchase commitments for capital projects in process at March 31, 2026 totaled $.4 million. CompX expects to spend approximately $4.3 million during 2026 on capital investments, primarily those expenditures required to meet CompX’s existing customer demand and to properly maintain its facilities and technology infrastructure.</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Repurchases of common stock</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At March 31, 2026, CompX has 523,647 shares available for repurchase under a stock repurchase program authorized by its board of directors.</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30</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Dividends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Because our operations are conducted primarily through subsidiaries and affiliates, our long-term ability to meet parent company-level corporate obligations is largely dependent on the receipt of dividends or other distributions from our subsidiaries and affiliates. A detail of annual dividends we expect to receive from our subsidiaries and affiliates in 2026, based on the number of shares of common stock of these affiliates we own as of March 31, 2026 and their current regular quarterly dividend rate, is presented in the table below.</w:t>
      </w:r>
    </w:p>
    <w:tbl>
      <w:tblPr>
        <w:tblW w:w="8044" w:type="dxa"/>
        <w:jc w:val="left"/>
        <w:tblInd w:w="0" w:type="dxa"/>
        <w:tblLayout w:type="fixed"/>
        <w:tblCellMar>
          <w:top w:w="0" w:type="dxa"/>
          <w:left w:w="0" w:type="dxa"/>
          <w:bottom w:w="0" w:type="dxa"/>
          <w:right w:w="0" w:type="dxa"/>
        </w:tblCellMar>
      </w:tblPr>
      <w:tblGrid>
        <w:gridCol w:w="2791"/>
        <w:gridCol w:w="346"/>
        <w:gridCol w:w="272"/>
        <w:gridCol w:w="1168"/>
        <w:gridCol w:w="346"/>
        <w:gridCol w:w="491"/>
        <w:gridCol w:w="739"/>
        <w:gridCol w:w="346"/>
        <w:gridCol w:w="233"/>
        <w:gridCol w:w="1312"/>
      </w:tblGrid>
      <w:tr>
        <w:trPr/>
        <w:tc>
          <w:tcPr>
            <w:tcW w:w="27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8">
                      <wp:simplePos x="0" y="0"/>
                      <wp:positionH relativeFrom="character">
                        <wp:align>left</wp:align>
                      </wp:positionH>
                      <wp:positionV relativeFrom="line">
                        <wp:posOffset>635</wp:posOffset>
                      </wp:positionV>
                      <wp:extent cx="1772285" cy="175260"/>
                      <wp:effectExtent l="0" t="0" r="0" b="0"/>
                      <wp:wrapNone/>
                      <wp:docPr id="267" name="Frame267"/>
                      <a:graphic xmlns:a="http://schemas.openxmlformats.org/drawingml/2006/main">
                        <a:graphicData uri="http://schemas.microsoft.com/office/word/2010/wordprocessingShape">
                          <wps:wsp>
                            <wps:cNvSpPr txBox="1"/>
                            <wps:spPr>
                              <a:xfrm>
                                <a:off x="0" y="0"/>
                                <a:ext cx="17722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9.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9">
                      <wp:simplePos x="0" y="0"/>
                      <wp:positionH relativeFrom="character">
                        <wp:align>left</wp:align>
                      </wp:positionH>
                      <wp:positionV relativeFrom="line">
                        <wp:posOffset>635</wp:posOffset>
                      </wp:positionV>
                      <wp:extent cx="219710" cy="175260"/>
                      <wp:effectExtent l="0" t="0" r="0" b="0"/>
                      <wp:wrapNone/>
                      <wp:docPr id="268" name="Frame268"/>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7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0">
                      <wp:simplePos x="0" y="0"/>
                      <wp:positionH relativeFrom="character">
                        <wp:align>left</wp:align>
                      </wp:positionH>
                      <wp:positionV relativeFrom="line">
                        <wp:posOffset>635</wp:posOffset>
                      </wp:positionV>
                      <wp:extent cx="172720" cy="175260"/>
                      <wp:effectExtent l="0" t="0" r="0" b="0"/>
                      <wp:wrapNone/>
                      <wp:docPr id="269" name="Frame269"/>
                      <a:graphic xmlns:a="http://schemas.openxmlformats.org/drawingml/2006/main">
                        <a:graphicData uri="http://schemas.microsoft.com/office/word/2010/wordprocessingShape">
                          <wps:wsp>
                            <wps:cNvSpPr txBox="1"/>
                            <wps:spPr>
                              <a:xfrm>
                                <a:off x="0" y="0"/>
                                <a:ext cx="17272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16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1">
                      <wp:simplePos x="0" y="0"/>
                      <wp:positionH relativeFrom="character">
                        <wp:align>left</wp:align>
                      </wp:positionH>
                      <wp:positionV relativeFrom="line">
                        <wp:posOffset>635</wp:posOffset>
                      </wp:positionV>
                      <wp:extent cx="741680" cy="175260"/>
                      <wp:effectExtent l="0" t="0" r="0" b="0"/>
                      <wp:wrapNone/>
                      <wp:docPr id="270" name="Frame270"/>
                      <a:graphic xmlns:a="http://schemas.openxmlformats.org/drawingml/2006/main">
                        <a:graphicData uri="http://schemas.microsoft.com/office/word/2010/wordprocessingShape">
                          <wps:wsp>
                            <wps:cNvSpPr txBox="1"/>
                            <wps:spPr>
                              <a:xfrm>
                                <a:off x="0" y="0"/>
                                <a:ext cx="74168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8.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2">
                      <wp:simplePos x="0" y="0"/>
                      <wp:positionH relativeFrom="character">
                        <wp:align>left</wp:align>
                      </wp:positionH>
                      <wp:positionV relativeFrom="line">
                        <wp:posOffset>635</wp:posOffset>
                      </wp:positionV>
                      <wp:extent cx="219710" cy="175260"/>
                      <wp:effectExtent l="0" t="0" r="0" b="0"/>
                      <wp:wrapNone/>
                      <wp:docPr id="271" name="Frame271"/>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4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3">
                      <wp:simplePos x="0" y="0"/>
                      <wp:positionH relativeFrom="character">
                        <wp:align>left</wp:align>
                      </wp:positionH>
                      <wp:positionV relativeFrom="line">
                        <wp:posOffset>635</wp:posOffset>
                      </wp:positionV>
                      <wp:extent cx="311785" cy="175260"/>
                      <wp:effectExtent l="0" t="0" r="0" b="0"/>
                      <wp:wrapNone/>
                      <wp:docPr id="272" name="Frame272"/>
                      <a:graphic xmlns:a="http://schemas.openxmlformats.org/drawingml/2006/main">
                        <a:graphicData uri="http://schemas.microsoft.com/office/word/2010/wordprocessingShape">
                          <wps:wsp>
                            <wps:cNvSpPr txBox="1"/>
                            <wps:spPr>
                              <a:xfrm>
                                <a:off x="0" y="0"/>
                                <a:ext cx="3117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3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4">
                      <wp:simplePos x="0" y="0"/>
                      <wp:positionH relativeFrom="character">
                        <wp:align>left</wp:align>
                      </wp:positionH>
                      <wp:positionV relativeFrom="line">
                        <wp:posOffset>635</wp:posOffset>
                      </wp:positionV>
                      <wp:extent cx="469265" cy="175260"/>
                      <wp:effectExtent l="0" t="0" r="0" b="0"/>
                      <wp:wrapNone/>
                      <wp:docPr id="273" name="Frame273"/>
                      <a:graphic xmlns:a="http://schemas.openxmlformats.org/drawingml/2006/main">
                        <a:graphicData uri="http://schemas.microsoft.com/office/word/2010/wordprocessingShape">
                          <wps:wsp>
                            <wps:cNvSpPr txBox="1"/>
                            <wps:spPr>
                              <a:xfrm>
                                <a:off x="0" y="0"/>
                                <a:ext cx="46926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6.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5">
                      <wp:simplePos x="0" y="0"/>
                      <wp:positionH relativeFrom="character">
                        <wp:align>left</wp:align>
                      </wp:positionH>
                      <wp:positionV relativeFrom="line">
                        <wp:posOffset>635</wp:posOffset>
                      </wp:positionV>
                      <wp:extent cx="219710" cy="175260"/>
                      <wp:effectExtent l="0" t="0" r="0" b="0"/>
                      <wp:wrapNone/>
                      <wp:docPr id="274" name="Frame274"/>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3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6">
                      <wp:simplePos x="0" y="0"/>
                      <wp:positionH relativeFrom="character">
                        <wp:align>left</wp:align>
                      </wp:positionH>
                      <wp:positionV relativeFrom="line">
                        <wp:posOffset>635</wp:posOffset>
                      </wp:positionV>
                      <wp:extent cx="147955" cy="175260"/>
                      <wp:effectExtent l="0" t="0" r="0" b="0"/>
                      <wp:wrapNone/>
                      <wp:docPr id="275" name="Frame275"/>
                      <a:graphic xmlns:a="http://schemas.openxmlformats.org/drawingml/2006/main">
                        <a:graphicData uri="http://schemas.microsoft.com/office/word/2010/wordprocessingShape">
                          <wps:wsp>
                            <wps:cNvSpPr txBox="1"/>
                            <wps:spPr>
                              <a:xfrm>
                                <a:off x="0" y="0"/>
                                <a:ext cx="14795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31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7">
                      <wp:simplePos x="0" y="0"/>
                      <wp:positionH relativeFrom="character">
                        <wp:align>left</wp:align>
                      </wp:positionH>
                      <wp:positionV relativeFrom="line">
                        <wp:posOffset>635</wp:posOffset>
                      </wp:positionV>
                      <wp:extent cx="833120" cy="175260"/>
                      <wp:effectExtent l="0" t="0" r="0" b="0"/>
                      <wp:wrapNone/>
                      <wp:docPr id="276" name="Frame276"/>
                      <a:graphic xmlns:a="http://schemas.openxmlformats.org/drawingml/2006/main">
                        <a:graphicData uri="http://schemas.microsoft.com/office/word/2010/wordprocessingShape">
                          <wps:wsp>
                            <wps:cNvSpPr txBox="1"/>
                            <wps:spPr>
                              <a:xfrm>
                                <a:off x="0" y="0"/>
                                <a:ext cx="83312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5.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279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  ​ ​ ​</w:t>
            </w:r>
          </w:p>
        </w:tc>
        <w:tc>
          <w:tcPr>
            <w:tcW w:w="1440" w:type="dxa"/>
            <w:gridSpan w:val="2"/>
            <w:tcBorders/>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Shares held</w:t>
            </w:r>
          </w:p>
        </w:tc>
        <w:tc>
          <w:tcPr>
            <w:tcW w:w="346" w:type="dxa"/>
            <w:tcBorders/>
            <w:vAlign w:val="center"/>
          </w:tcPr>
          <w:p>
            <w:pPr>
              <w:pStyle w:val="TableContents"/>
              <w:bidi w:val="0"/>
              <w:spacing w:before="0" w:after="1"/>
              <w:ind w:left="0" w:right="0" w:hanging="0"/>
              <w:jc w:val="center"/>
              <w:rPr/>
            </w:pPr>
            <w:r>
              <w:rPr/>
              <w:t>  ​ ​ ​</w:t>
            </w:r>
          </w:p>
        </w:tc>
        <w:tc>
          <w:tcPr>
            <w:tcW w:w="1230" w:type="dxa"/>
            <w:gridSpan w:val="2"/>
            <w:tcBorders/>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Quarterly</w:t>
            </w:r>
          </w:p>
        </w:tc>
        <w:tc>
          <w:tcPr>
            <w:tcW w:w="346" w:type="dxa"/>
            <w:tcBorders/>
            <w:vAlign w:val="center"/>
          </w:tcPr>
          <w:p>
            <w:pPr>
              <w:pStyle w:val="TableContents"/>
              <w:bidi w:val="0"/>
              <w:spacing w:before="0" w:after="1"/>
              <w:ind w:left="0" w:right="0" w:hanging="0"/>
              <w:jc w:val="center"/>
              <w:rPr/>
            </w:pPr>
            <w:r>
              <w:rPr/>
              <w:t>  ​ ​ ​</w:t>
            </w:r>
          </w:p>
        </w:tc>
        <w:tc>
          <w:tcPr>
            <w:tcW w:w="1545" w:type="dxa"/>
            <w:gridSpan w:val="2"/>
            <w:tcBorders/>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Annual expected</w:t>
            </w:r>
          </w:p>
        </w:tc>
      </w:tr>
      <w:tr>
        <w:trPr/>
        <w:tc>
          <w:tcPr>
            <w:tcW w:w="279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w:t>
            </w:r>
          </w:p>
        </w:tc>
        <w:tc>
          <w:tcPr>
            <w:tcW w:w="1440"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March 31, 2026</w:t>
            </w:r>
          </w:p>
        </w:tc>
        <w:tc>
          <w:tcPr>
            <w:tcW w:w="346" w:type="dxa"/>
            <w:tcBorders/>
            <w:vAlign w:val="center"/>
          </w:tcPr>
          <w:p>
            <w:pPr>
              <w:pStyle w:val="TableContents"/>
              <w:bidi w:val="0"/>
              <w:spacing w:before="0" w:after="1"/>
              <w:ind w:left="0" w:right="0" w:hanging="0"/>
              <w:jc w:val="center"/>
              <w:rPr/>
            </w:pPr>
            <w:r>
              <w:rPr/>
              <w:t>​</w:t>
            </w:r>
          </w:p>
        </w:tc>
        <w:tc>
          <w:tcPr>
            <w:tcW w:w="1230"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dividend rate</w:t>
            </w:r>
          </w:p>
        </w:tc>
        <w:tc>
          <w:tcPr>
            <w:tcW w:w="346" w:type="dxa"/>
            <w:tcBorders/>
            <w:vAlign w:val="center"/>
          </w:tcPr>
          <w:p>
            <w:pPr>
              <w:pStyle w:val="TableContents"/>
              <w:bidi w:val="0"/>
              <w:spacing w:before="0" w:after="1"/>
              <w:ind w:left="0" w:right="0" w:hanging="0"/>
              <w:jc w:val="center"/>
              <w:rPr/>
            </w:pPr>
            <w:r>
              <w:rPr/>
              <w:t>​</w:t>
            </w:r>
          </w:p>
        </w:tc>
        <w:tc>
          <w:tcPr>
            <w:tcW w:w="1545"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dividend</w:t>
            </w:r>
          </w:p>
        </w:tc>
      </w:tr>
      <w:tr>
        <w:trPr/>
        <w:tc>
          <w:tcPr>
            <w:tcW w:w="279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  ​ ​ ​</w:t>
            </w:r>
          </w:p>
        </w:tc>
        <w:tc>
          <w:tcPr>
            <w:tcW w:w="1440" w:type="dxa"/>
            <w:gridSpan w:val="2"/>
            <w:tcBorders/>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(In millions)</w:t>
            </w:r>
          </w:p>
        </w:tc>
        <w:tc>
          <w:tcPr>
            <w:tcW w:w="346" w:type="dxa"/>
            <w:tcBorders/>
            <w:vAlign w:val="center"/>
          </w:tcPr>
          <w:p>
            <w:pPr>
              <w:pStyle w:val="TableContents"/>
              <w:bidi w:val="0"/>
              <w:spacing w:before="0" w:after="1"/>
              <w:ind w:left="0" w:right="0" w:hanging="0"/>
              <w:jc w:val="center"/>
              <w:rPr/>
            </w:pPr>
            <w:r>
              <w:rPr/>
              <w:t>  ​ ​ ​</w:t>
            </w:r>
          </w:p>
        </w:tc>
        <w:tc>
          <w:tcPr>
            <w:tcW w:w="491" w:type="dxa"/>
            <w:tcBorders/>
            <w:vAlign w:val="center"/>
          </w:tcPr>
          <w:p>
            <w:pPr>
              <w:pStyle w:val="TableContents"/>
              <w:bidi w:val="0"/>
              <w:spacing w:before="0" w:after="1"/>
              <w:ind w:left="0" w:right="0" w:hanging="0"/>
              <w:jc w:val="center"/>
              <w:rPr/>
            </w:pPr>
            <w:r>
              <w:rPr/>
              <w:t>​</w:t>
            </w:r>
          </w:p>
        </w:tc>
        <w:tc>
          <w:tcPr>
            <w:tcW w:w="739"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center"/>
              <w:rPr/>
            </w:pPr>
            <w:r>
              <w:rPr/>
              <w:t>  ​ ​ ​</w:t>
            </w:r>
          </w:p>
        </w:tc>
        <w:tc>
          <w:tcPr>
            <w:tcW w:w="233" w:type="dxa"/>
            <w:tcBorders/>
            <w:vAlign w:val="center"/>
          </w:tcPr>
          <w:p>
            <w:pPr>
              <w:pStyle w:val="TableContents"/>
              <w:bidi w:val="0"/>
              <w:spacing w:before="0" w:after="1"/>
              <w:ind w:left="0" w:right="0" w:hanging="0"/>
              <w:jc w:val="center"/>
              <w:rPr/>
            </w:pPr>
            <w:r>
              <w:rPr/>
              <w:t>​</w:t>
            </w:r>
          </w:p>
        </w:tc>
        <w:tc>
          <w:tcPr>
            <w:tcW w:w="1312" w:type="dxa"/>
            <w:tcBorders/>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(In millions)</w:t>
            </w:r>
          </w:p>
        </w:tc>
      </w:tr>
      <w:tr>
        <w:trPr/>
        <w:tc>
          <w:tcPr>
            <w:tcW w:w="279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Kronos</w:t>
            </w:r>
          </w:p>
        </w:tc>
        <w:tc>
          <w:tcPr>
            <w:tcW w:w="346" w:type="dxa"/>
            <w:tcBorders/>
            <w:shd w:fill="CCEEFF" w:val="clear"/>
            <w:vAlign w:val="center"/>
          </w:tcPr>
          <w:p>
            <w:pPr>
              <w:pStyle w:val="TableContents"/>
              <w:bidi w:val="0"/>
              <w:spacing w:before="0" w:after="1"/>
              <w:ind w:left="0" w:right="0" w:hanging="0"/>
              <w:jc w:val="left"/>
              <w:rPr/>
            </w:pPr>
            <w:r>
              <w:rPr/>
              <w:t> </w:t>
            </w:r>
          </w:p>
        </w:tc>
        <w:tc>
          <w:tcPr>
            <w:tcW w:w="272" w:type="dxa"/>
            <w:tcBorders/>
            <w:shd w:fill="CCEEFF" w:val="clear"/>
            <w:vAlign w:val="center"/>
          </w:tcPr>
          <w:p>
            <w:pPr>
              <w:pStyle w:val="TableContents"/>
              <w:bidi w:val="0"/>
              <w:spacing w:before="0" w:after="1"/>
              <w:ind w:left="0" w:right="0" w:hanging="0"/>
              <w:jc w:val="right"/>
              <w:rPr/>
            </w:pPr>
            <w:r>
              <w:rPr/>
              <w:t>​</w:t>
            </w:r>
          </w:p>
        </w:tc>
        <w:tc>
          <w:tcPr>
            <w:tcW w:w="1168"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35.2</w:t>
            </w:r>
          </w:p>
        </w:tc>
        <w:tc>
          <w:tcPr>
            <w:tcW w:w="346" w:type="dxa"/>
            <w:tcBorders/>
            <w:shd w:fill="CCEEFF" w:val="clear"/>
            <w:vAlign w:val="center"/>
          </w:tcPr>
          <w:p>
            <w:pPr>
              <w:pStyle w:val="TableContents"/>
              <w:bidi w:val="0"/>
              <w:spacing w:before="0" w:after="1"/>
              <w:ind w:left="0" w:right="0" w:hanging="0"/>
              <w:jc w:val="left"/>
              <w:rPr/>
            </w:pPr>
            <w:r>
              <w:rPr/>
              <w:t>​</w:t>
            </w:r>
          </w:p>
        </w:tc>
        <w:tc>
          <w:tcPr>
            <w:tcW w:w="49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39"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.05</w:t>
            </w:r>
          </w:p>
        </w:tc>
        <w:tc>
          <w:tcPr>
            <w:tcW w:w="346" w:type="dxa"/>
            <w:tcBorders/>
            <w:shd w:fill="CCEEFF" w:val="clear"/>
            <w:vAlign w:val="center"/>
          </w:tcPr>
          <w:p>
            <w:pPr>
              <w:pStyle w:val="TableContents"/>
              <w:bidi w:val="0"/>
              <w:spacing w:before="0" w:after="1"/>
              <w:ind w:left="0" w:right="0" w:hanging="0"/>
              <w:jc w:val="left"/>
              <w:rPr/>
            </w:pPr>
            <w:r>
              <w:rPr/>
              <w:t>​</w:t>
            </w:r>
          </w:p>
        </w:tc>
        <w:tc>
          <w:tcPr>
            <w:tcW w:w="233"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312"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7.0</w:t>
            </w:r>
          </w:p>
        </w:tc>
      </w:tr>
      <w:tr>
        <w:trPr/>
        <w:tc>
          <w:tcPr>
            <w:tcW w:w="279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CompX</w:t>
            </w:r>
          </w:p>
        </w:tc>
        <w:tc>
          <w:tcPr>
            <w:tcW w:w="346" w:type="dxa"/>
            <w:tcBorders/>
            <w:vAlign w:val="center"/>
          </w:tcPr>
          <w:p>
            <w:pPr>
              <w:pStyle w:val="TableContents"/>
              <w:bidi w:val="0"/>
              <w:spacing w:before="0" w:after="1"/>
              <w:ind w:left="0" w:right="0" w:hanging="0"/>
              <w:jc w:val="left"/>
              <w:rPr/>
            </w:pPr>
            <w:r>
              <w:rPr/>
              <w:t> </w:t>
            </w:r>
          </w:p>
        </w:tc>
        <w:tc>
          <w:tcPr>
            <w:tcW w:w="272" w:type="dxa"/>
            <w:tcBorders/>
            <w:vAlign w:val="center"/>
          </w:tcPr>
          <w:p>
            <w:pPr>
              <w:pStyle w:val="TableContents"/>
              <w:bidi w:val="0"/>
              <w:spacing w:before="0" w:after="1"/>
              <w:ind w:left="0" w:right="0" w:hanging="0"/>
              <w:jc w:val="right"/>
              <w:rPr/>
            </w:pPr>
            <w:r>
              <w:rPr/>
              <w:t>​</w:t>
            </w:r>
          </w:p>
        </w:tc>
        <w:tc>
          <w:tcPr>
            <w:tcW w:w="1168"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10.8</w:t>
            </w:r>
          </w:p>
        </w:tc>
        <w:tc>
          <w:tcPr>
            <w:tcW w:w="346" w:type="dxa"/>
            <w:tcBorders/>
            <w:vAlign w:val="center"/>
          </w:tcPr>
          <w:p>
            <w:pPr>
              <w:pStyle w:val="TableContents"/>
              <w:bidi w:val="0"/>
              <w:spacing w:before="0" w:after="1"/>
              <w:ind w:left="0" w:right="0" w:hanging="0"/>
              <w:jc w:val="left"/>
              <w:rPr/>
            </w:pPr>
            <w:r>
              <w:rPr/>
              <w:t>​</w:t>
            </w:r>
          </w:p>
        </w:tc>
        <w:tc>
          <w:tcPr>
            <w:tcW w:w="491" w:type="dxa"/>
            <w:tcBorders/>
            <w:vAlign w:val="center"/>
          </w:tcPr>
          <w:p>
            <w:pPr>
              <w:pStyle w:val="TableContents"/>
              <w:bidi w:val="0"/>
              <w:spacing w:before="0" w:after="1"/>
              <w:ind w:left="0" w:right="0" w:hanging="0"/>
              <w:jc w:val="left"/>
              <w:rPr/>
            </w:pPr>
            <w:r>
              <w:rPr/>
              <w:t> </w:t>
            </w:r>
          </w:p>
        </w:tc>
        <w:tc>
          <w:tcPr>
            <w:tcW w:w="739"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.30</w:t>
            </w:r>
          </w:p>
        </w:tc>
        <w:tc>
          <w:tcPr>
            <w:tcW w:w="346" w:type="dxa"/>
            <w:tcBorders/>
            <w:vAlign w:val="center"/>
          </w:tcPr>
          <w:p>
            <w:pPr>
              <w:pStyle w:val="TableContents"/>
              <w:bidi w:val="0"/>
              <w:spacing w:before="0" w:after="1"/>
              <w:ind w:left="0" w:right="0" w:hanging="0"/>
              <w:jc w:val="left"/>
              <w:rPr/>
            </w:pPr>
            <w:r>
              <w:rPr/>
              <w:t>​</w:t>
            </w:r>
          </w:p>
        </w:tc>
        <w:tc>
          <w:tcPr>
            <w:tcW w:w="233" w:type="dxa"/>
            <w:tcBorders/>
            <w:vAlign w:val="center"/>
          </w:tcPr>
          <w:p>
            <w:pPr>
              <w:pStyle w:val="TableContents"/>
              <w:bidi w:val="0"/>
              <w:spacing w:before="0" w:after="1"/>
              <w:ind w:left="0" w:right="0" w:hanging="0"/>
              <w:jc w:val="left"/>
              <w:rPr/>
            </w:pPr>
            <w:r>
              <w:rPr/>
              <w:t> </w:t>
            </w:r>
          </w:p>
        </w:tc>
        <w:tc>
          <w:tcPr>
            <w:tcW w:w="1312"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12.9</w:t>
            </w:r>
          </w:p>
        </w:tc>
      </w:tr>
      <w:tr>
        <w:trPr/>
        <w:tc>
          <w:tcPr>
            <w:tcW w:w="279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Valhi</w:t>
            </w:r>
          </w:p>
        </w:tc>
        <w:tc>
          <w:tcPr>
            <w:tcW w:w="346" w:type="dxa"/>
            <w:tcBorders/>
            <w:shd w:fill="CCEEFF" w:val="clear"/>
            <w:vAlign w:val="center"/>
          </w:tcPr>
          <w:p>
            <w:pPr>
              <w:pStyle w:val="TableContents"/>
              <w:bidi w:val="0"/>
              <w:spacing w:before="0" w:after="1"/>
              <w:ind w:left="0" w:right="0" w:hanging="0"/>
              <w:jc w:val="left"/>
              <w:rPr/>
            </w:pPr>
            <w:r>
              <w:rPr/>
              <w:t> </w:t>
            </w:r>
          </w:p>
        </w:tc>
        <w:tc>
          <w:tcPr>
            <w:tcW w:w="272" w:type="dxa"/>
            <w:tcBorders/>
            <w:shd w:fill="CCEEFF" w:val="clear"/>
            <w:vAlign w:val="center"/>
          </w:tcPr>
          <w:p>
            <w:pPr>
              <w:pStyle w:val="TableContents"/>
              <w:bidi w:val="0"/>
              <w:spacing w:before="0" w:after="1"/>
              <w:ind w:left="0" w:right="0" w:hanging="0"/>
              <w:jc w:val="right"/>
              <w:rPr/>
            </w:pPr>
            <w:r>
              <w:rPr/>
              <w:t>​</w:t>
            </w:r>
          </w:p>
        </w:tc>
        <w:tc>
          <w:tcPr>
            <w:tcW w:w="1168"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1.2</w:t>
            </w:r>
          </w:p>
        </w:tc>
        <w:tc>
          <w:tcPr>
            <w:tcW w:w="346" w:type="dxa"/>
            <w:tcBorders/>
            <w:shd w:fill="CCEEFF" w:val="clear"/>
            <w:vAlign w:val="center"/>
          </w:tcPr>
          <w:p>
            <w:pPr>
              <w:pStyle w:val="TableContents"/>
              <w:bidi w:val="0"/>
              <w:spacing w:before="0" w:after="1"/>
              <w:ind w:left="0" w:right="0" w:hanging="0"/>
              <w:jc w:val="left"/>
              <w:rPr/>
            </w:pPr>
            <w:r>
              <w:rPr/>
              <w:t>​</w:t>
            </w:r>
          </w:p>
        </w:tc>
        <w:tc>
          <w:tcPr>
            <w:tcW w:w="491" w:type="dxa"/>
            <w:tcBorders/>
            <w:shd w:fill="CCEEFF" w:val="clear"/>
            <w:vAlign w:val="center"/>
          </w:tcPr>
          <w:p>
            <w:pPr>
              <w:pStyle w:val="TableContents"/>
              <w:bidi w:val="0"/>
              <w:spacing w:before="0" w:after="1"/>
              <w:ind w:left="0" w:right="0" w:hanging="0"/>
              <w:jc w:val="left"/>
              <w:rPr/>
            </w:pPr>
            <w:r>
              <w:rPr/>
              <w:t> </w:t>
            </w:r>
          </w:p>
        </w:tc>
        <w:tc>
          <w:tcPr>
            <w:tcW w:w="739"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.08</w:t>
            </w:r>
          </w:p>
        </w:tc>
        <w:tc>
          <w:tcPr>
            <w:tcW w:w="346" w:type="dxa"/>
            <w:tcBorders/>
            <w:shd w:fill="CCEEFF" w:val="clear"/>
            <w:vAlign w:val="center"/>
          </w:tcPr>
          <w:p>
            <w:pPr>
              <w:pStyle w:val="TableContents"/>
              <w:bidi w:val="0"/>
              <w:spacing w:before="0" w:after="1"/>
              <w:ind w:left="0" w:right="0" w:hanging="0"/>
              <w:jc w:val="left"/>
              <w:rPr/>
            </w:pPr>
            <w:r>
              <w:rPr/>
              <w:t>​</w:t>
            </w:r>
          </w:p>
        </w:tc>
        <w:tc>
          <w:tcPr>
            <w:tcW w:w="233"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1312"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w:t>
            </w:r>
          </w:p>
        </w:tc>
      </w:tr>
      <w:tr>
        <w:trPr/>
        <w:tc>
          <w:tcPr>
            <w:tcW w:w="279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Total expected annual dividends</w:t>
            </w:r>
          </w:p>
        </w:tc>
        <w:tc>
          <w:tcPr>
            <w:tcW w:w="346" w:type="dxa"/>
            <w:tcBorders/>
            <w:vAlign w:val="center"/>
          </w:tcPr>
          <w:p>
            <w:pPr>
              <w:pStyle w:val="TableContents"/>
              <w:bidi w:val="0"/>
              <w:spacing w:before="0" w:after="1"/>
              <w:ind w:left="0" w:right="0" w:hanging="0"/>
              <w:jc w:val="left"/>
              <w:rPr/>
            </w:pPr>
            <w:r>
              <w:rPr/>
              <w:t>​</w:t>
            </w:r>
          </w:p>
        </w:tc>
        <w:tc>
          <w:tcPr>
            <w:tcW w:w="272" w:type="dxa"/>
            <w:tcBorders/>
            <w:vAlign w:val="center"/>
          </w:tcPr>
          <w:p>
            <w:pPr>
              <w:pStyle w:val="TableContents"/>
              <w:bidi w:val="0"/>
              <w:spacing w:before="0" w:after="1"/>
              <w:ind w:left="0" w:right="0" w:hanging="0"/>
              <w:jc w:val="left"/>
              <w:rPr/>
            </w:pPr>
            <w:r>
              <w:rPr/>
              <w:t>​</w:t>
            </w:r>
          </w:p>
        </w:tc>
        <w:tc>
          <w:tcPr>
            <w:tcW w:w="1168"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491" w:type="dxa"/>
            <w:tcBorders/>
            <w:vAlign w:val="center"/>
          </w:tcPr>
          <w:p>
            <w:pPr>
              <w:pStyle w:val="TableContents"/>
              <w:bidi w:val="0"/>
              <w:spacing w:before="0" w:after="1"/>
              <w:ind w:left="0" w:right="0" w:hanging="0"/>
              <w:jc w:val="left"/>
              <w:rPr/>
            </w:pPr>
            <w:r>
              <w:rPr/>
              <w:t> </w:t>
            </w:r>
          </w:p>
        </w:tc>
        <w:tc>
          <w:tcPr>
            <w:tcW w:w="739" w:type="dxa"/>
            <w:tcBorders/>
            <w:vAlign w:val="center"/>
          </w:tcPr>
          <w:p>
            <w:pPr>
              <w:pStyle w:val="TableContents"/>
              <w:bidi w:val="0"/>
              <w:spacing w:before="0" w:after="1"/>
              <w:ind w:left="0" w:right="0" w:hanging="0"/>
              <w:jc w:val="right"/>
              <w:rPr/>
            </w:pPr>
            <w:r>
              <w:rPr/>
              <w:t>  ​</w:t>
            </w:r>
          </w:p>
        </w:tc>
        <w:tc>
          <w:tcPr>
            <w:tcW w:w="346" w:type="dxa"/>
            <w:tcBorders/>
            <w:vAlign w:val="center"/>
          </w:tcPr>
          <w:p>
            <w:pPr>
              <w:pStyle w:val="TableContents"/>
              <w:bidi w:val="0"/>
              <w:spacing w:before="0" w:after="1"/>
              <w:ind w:left="0" w:right="0" w:hanging="0"/>
              <w:jc w:val="left"/>
              <w:rPr/>
            </w:pPr>
            <w:r>
              <w:rPr/>
              <w:t>​</w:t>
            </w:r>
          </w:p>
        </w:tc>
        <w:tc>
          <w:tcPr>
            <w:tcW w:w="233"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w:t>
            </w:r>
          </w:p>
        </w:tc>
        <w:tc>
          <w:tcPr>
            <w:tcW w:w="1312" w:type="dxa"/>
            <w:tcBorders>
              <w:bottom w:val="double" w:sz="6" w:space="0" w:color="000000"/>
            </w:tcBorders>
            <w:tcMar>
              <w:bottom w:w="28" w:type="dxa"/>
            </w:tcMar>
            <w:vAlign w:val="center"/>
          </w:tcPr>
          <w:p>
            <w:pPr>
              <w:pStyle w:val="TableContents"/>
              <w:bidi w:val="0"/>
              <w:spacing w:before="0" w:after="1"/>
              <w:ind w:left="0" w:right="60" w:hanging="0"/>
              <w:jc w:val="right"/>
              <w:rPr>
                <w:rFonts w:ascii="Times New Roman;Times;serif" w:hAnsi="Times New Roman;Times;serif"/>
                <w:sz w:val="20"/>
              </w:rPr>
            </w:pPr>
            <w:r>
              <w:rPr>
                <w:rFonts w:ascii="Times New Roman;Times;serif" w:hAnsi="Times New Roman;Times;serif"/>
                <w:sz w:val="20"/>
              </w:rPr>
              <w:t>20.3</w:t>
            </w:r>
          </w:p>
        </w:tc>
      </w:tr>
    </w:tbl>
    <w:p>
      <w:pPr>
        <w:pStyle w:val="TextBody"/>
        <w:bidi w:val="0"/>
        <w:spacing w:before="240" w:after="240"/>
        <w:ind w:left="0" w:right="0" w:hanging="0"/>
        <w:jc w:val="left"/>
        <w:rPr>
          <w:rFonts w:ascii="Times New Roman;Times;serif" w:hAnsi="Times New Roman;Times;serif"/>
          <w:b/>
          <w:i/>
          <w:sz w:val="20"/>
        </w:rPr>
      </w:pPr>
      <w:r>
        <w:rPr>
          <w:rFonts w:ascii="Times New Roman;Times;serif" w:hAnsi="Times New Roman;Times;serif"/>
          <w:b/>
          <w:i/>
          <w:sz w:val="20"/>
        </w:rPr>
        <w:t>Investments in our subsidiaries and affiliates and other acquisitions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We have in the past and may in the future, purchase the securities of our subsidiaries and affiliates or third-parties in market or privately-negotiated transactions. We base our purchase decisions on a variety of factors, including an analysis of the optimal use of our capital, taking into account the market value of the securities and the relative value of expected returns on alternative investments. In connection with these activities, we may consider issuing additional equity securities or increasing our indebtedness. We may also evaluate the restructuring of ownership interests of our businesses among our subsidiaries and related companies.</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Commitments and contingencies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There have been no material changes in our contractual obligations since we filed our 2025 Annual Report and we refer you to that report for a complete description of these commitments.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We are subject to certain commitments and contingencies, as more fully described or referenced in our 2025 Annual Report, or in Note 14 to our Condensed Consolidated Financial Statements or in Part II, Item 1 of this report, including certain legal proceedings. In addition to such legal proceedings, various legislation and administrative regulations have, from time to time, been proposed that seek to (i) impose various obligations on present and former manufacturers of lead pigment and lead-based paint (including us) with respect to asserted health concerns associated with the use of such products and (ii) effectively overturn court decisions in which we and other pigment manufacturers have been successful. Examples of such proposed legislation include bills which would permit civil liability for damages on the basis of market share, rather than requiring plaintiffs to prove that the defendant’s product caused the alleged damage and bills which would revive actions barred by the statute of limitations. While no legislation or regulations have been enacted to date that are expected to have a material adverse effect on our consolidated financial position, results of operations or liquidity, enactment of such legislation could have such an effect.</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Recent accounting pronouncements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See Note 16 to our Condensed Consolidated Financial Statements.</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Critical accounting policies and estimates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For a discussion of our critical accounting policies, refer to Part I, — “Management’s Discussion and Analysis of Financial Condition and Results of Operations” in our 2025 Annual Report. There have been no changes in our critical accounting policies during the first three months of 2026.</w:t>
      </w:r>
    </w:p>
    <w:p>
      <w:pPr>
        <w:pStyle w:val="TextBody"/>
        <w:bidi w:val="0"/>
        <w:spacing w:before="0" w:after="240"/>
        <w:ind w:left="0" w:right="0" w:hanging="0"/>
        <w:jc w:val="left"/>
        <w:rPr>
          <w:rFonts w:ascii="Times New Roman;Times;serif" w:hAnsi="Times New Roman;Times;serif"/>
          <w:b/>
          <w:sz w:val="20"/>
        </w:rPr>
      </w:pPr>
      <w:bookmarkStart w:id="828" w:name="ITEM3QUANTITATIVEANDQUALITATIVEDISCLOSUR"/>
      <w:bookmarkStart w:id="829" w:name="_5a3b5050_c711_4460_84d0_b385260047d4"/>
      <w:bookmarkEnd w:id="828"/>
      <w:bookmarkEnd w:id="829"/>
      <w:r>
        <w:rPr>
          <w:rFonts w:ascii="Times New Roman;Times;serif" w:hAnsi="Times New Roman;Times;serif"/>
          <w:b/>
          <w:i w:val="false"/>
          <w:caps w:val="false"/>
          <w:smallCaps w:val="false"/>
          <w:sz w:val="20"/>
        </w:rPr>
        <w:t>ITEM 3.</w:t>
      </w:r>
      <w:r>
        <w:rPr>
          <w:rFonts w:ascii="Times New Roman;Times;serif" w:hAnsi="Times New Roman;Times;serif"/>
          <w:b/>
          <w:sz w:val="20"/>
        </w:rPr>
        <w:t>QUANTITATIVE AND QUALITATIVE DISCLOSURE ABOUT MARKET RISK</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We are exposed to market risk, including currency exchange rates, interest rates and equity security prices. There have been no material changes in these market risks since we filed our 2025 Annual Report, and we refer you to Part I, Item 7A. – “Quantitative and Qualitative Disclosure about Market Risk” in our 2025 Annual Report. See also Note 15 to our Condensed Consolidated Financial Statements.</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31</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sz w:val="20"/>
        </w:rPr>
      </w:pPr>
      <w:bookmarkStart w:id="830" w:name="ITEM4CONTROLSANDPROCEDURES_728201"/>
      <w:bookmarkStart w:id="831" w:name="_a15dcaed_f9f7_4257_bdbc_1d71089a936b"/>
      <w:bookmarkEnd w:id="830"/>
      <w:bookmarkEnd w:id="831"/>
      <w:r>
        <w:rPr>
          <w:rFonts w:ascii="Times New Roman;Times;serif" w:hAnsi="Times New Roman;Times;serif"/>
          <w:b/>
          <w:i w:val="false"/>
          <w:caps w:val="false"/>
          <w:smallCaps w:val="false"/>
          <w:sz w:val="20"/>
        </w:rPr>
        <w:t>ITEM 4.</w:t>
      </w:r>
      <w:r>
        <w:rPr>
          <w:rFonts w:ascii="Times New Roman;Times;serif" w:hAnsi="Times New Roman;Times;serif"/>
          <w:b/>
          <w:sz w:val="20"/>
        </w:rPr>
        <w:t>CONTROLS AND PROCEDURES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b/>
          <w:i/>
          <w:sz w:val="20"/>
        </w:rPr>
        <w:t>Evaluation of disclosure controls and procedures </w:t>
      </w:r>
      <w:r>
        <w:rPr>
          <w:rFonts w:ascii="Times New Roman;Times;serif" w:hAnsi="Times New Roman;Times;serif"/>
          <w:sz w:val="20"/>
        </w:rPr>
        <w:t>– We maintain disclosure controls and procedures which, as defined in Exchange Act Rule 13a-15(e), means controls and other procedures that are designed to ensure that information required to be disclosed in the reports that we file or submit to the SEC under the Securities Exchange Act of 1934, as amended (the Act), is recorded, processed, summarized and reported, within the time periods specified in the SEC’s rules and forms. Disclosure controls and procedures include, without limitation, controls and procedures designed to ensure that information we are required to disclose in the reports we file or submit to the SEC under the Act is accumulated and communicated to our management, including our principal executive officer and our principal financial officer, or persons performing similar functions, as appropriate to allow timely decisions to be made regarding required disclosure. Each of Courtney J. Riley, our President and Chief Executive Officer and Amy Allbach Samford, our Executive Vice President and Chief Financial Officer, have evaluated the design and effectiveness of our disclosure controls and procedures as of March 31, 2026. Based upon their evaluation, these executive officers have concluded that our disclosure controls and procedures are effective as of the date of this evaluation.</w:t>
      </w:r>
    </w:p>
    <w:p>
      <w:pPr>
        <w:pStyle w:val="TextBody"/>
        <w:bidi w:val="0"/>
        <w:spacing w:before="0" w:after="200"/>
        <w:ind w:left="0" w:right="0" w:firstLine="720"/>
        <w:jc w:val="both"/>
        <w:rPr>
          <w:rFonts w:ascii="Times New Roman;Times;serif" w:hAnsi="Times New Roman;Times;serif"/>
          <w:sz w:val="20"/>
        </w:rPr>
      </w:pPr>
      <w:r>
        <w:rPr>
          <w:rFonts w:ascii="Times New Roman;Times;serif" w:hAnsi="Times New Roman;Times;serif"/>
          <w:b/>
          <w:i/>
          <w:sz w:val="20"/>
        </w:rPr>
        <w:t>Internal control over financial reporting </w:t>
      </w:r>
      <w:r>
        <w:rPr>
          <w:rFonts w:ascii="Times New Roman;Times;serif" w:hAnsi="Times New Roman;Times;serif"/>
          <w:sz w:val="20"/>
        </w:rPr>
        <w:t>– Our management is responsible for establishing and maintaining adequate internal control over financial reporting which, as defined by Exchange Act Rule 13a-15(f) means a process designed by, or under the supervision of, our principal executive and principal financial officers, or persons performing similar functions, and effected by the board of directors, management and other personnel, to provide reasonable assurance regarding the reliability of financial reporting and the preparation of financial statements for external purposes in accordance with generally accepted accounting principles, and includes those policies and procedures that:</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Pertain to the maintenance of records that in reasonable detail accurately and fairly reflect transactions and dispositions of our assets,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Provide reasonable assurance that transactions are recorded as necessary to permit preparation of financial statements in accordance with GAAP, and that receipts and expenditures are made only in accordance with authorizations of our management and directors, and</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Provide reasonable assurance regarding prevention or timely detection of an unauthorized acquisition, use or disposition of assets that could have a material effect on our Condensed Consolidated Financial Statements.</w:t>
            </w:r>
          </w:p>
        </w:tc>
      </w:tr>
    </w:tbl>
    <w:p>
      <w:pPr>
        <w:pStyle w:val="TextBody"/>
        <w:bidi w:val="0"/>
        <w:spacing w:before="0" w:after="200"/>
        <w:ind w:left="0" w:right="0" w:firstLine="720"/>
        <w:jc w:val="both"/>
        <w:rPr>
          <w:rFonts w:ascii="Times New Roman;Times;serif" w:hAnsi="Times New Roman;Times;serif"/>
          <w:sz w:val="20"/>
        </w:rPr>
      </w:pPr>
      <w:r>
        <w:rPr>
          <w:rFonts w:ascii="Times New Roman;Times;serif" w:hAnsi="Times New Roman;Times;serif"/>
          <w:b/>
          <w:i/>
          <w:sz w:val="20"/>
        </w:rPr>
        <w:t>Other </w:t>
      </w:r>
      <w:r>
        <w:rPr>
          <w:rFonts w:ascii="Times New Roman;Times;serif" w:hAnsi="Times New Roman;Times;serif"/>
          <w:sz w:val="20"/>
        </w:rPr>
        <w:t>– As permitted by the SEC, our assessment of internal control over financial reporting excludes internal control over financial reporting of equity method investees. However, our assessment of internal control over financial reporting with respect to equity method investees did include controls over the recording of amounts related to our investment that are recorded in the consolidated financial statements, including controls over the selection of accounting methods for our investments, the recognition of equity method earnings and losses and the determination, valuation and recording of our investment account balances.</w:t>
      </w:r>
    </w:p>
    <w:p>
      <w:pPr>
        <w:pStyle w:val="TextBody"/>
        <w:bidi w:val="0"/>
        <w:spacing w:before="0" w:after="200"/>
        <w:ind w:left="0" w:right="0" w:firstLine="720"/>
        <w:jc w:val="both"/>
        <w:rPr>
          <w:rFonts w:ascii="Times New Roman;Times;serif" w:hAnsi="Times New Roman;Times;serif"/>
          <w:sz w:val="20"/>
        </w:rPr>
      </w:pPr>
      <w:r>
        <w:rPr>
          <w:rFonts w:ascii="Times New Roman;Times;serif" w:hAnsi="Times New Roman;Times;serif"/>
          <w:b/>
          <w:i/>
          <w:sz w:val="20"/>
        </w:rPr>
        <w:t>Changes in internal control over financial reporting</w:t>
      </w:r>
      <w:r>
        <w:rPr>
          <w:rFonts w:ascii="Times New Roman;Times;serif" w:hAnsi="Times New Roman;Times;serif"/>
          <w:sz w:val="20"/>
        </w:rPr>
        <w:t> – There have been no changes to our internal control over financial reporting during the quarter ended March 31, 2026 that have materially affected, or are reasonably likely to materially affect, our internal control over financial reporting.</w:t>
      </w:r>
    </w:p>
    <w:p>
      <w:pPr>
        <w:pStyle w:val="TextBody"/>
        <w:bidi w:val="0"/>
        <w:spacing w:before="0" w:after="240"/>
        <w:ind w:left="0" w:right="0" w:hanging="0"/>
        <w:jc w:val="center"/>
        <w:rPr/>
      </w:pPr>
      <w:bookmarkStart w:id="832" w:name="_f428078a_ecbf_4123_9447_57edb19de4c9"/>
      <w:bookmarkEnd w:id="832"/>
      <w:r>
        <w:rPr/>
        <w:t>​</w:t>
      </w:r>
    </w:p>
    <w:p>
      <w:pPr>
        <w:pStyle w:val="TextBody"/>
        <w:bidi w:val="0"/>
        <w:spacing w:before="0" w:after="200"/>
        <w:ind w:left="0" w:right="0" w:hanging="0"/>
        <w:jc w:val="center"/>
        <w:rPr>
          <w:rFonts w:ascii="Times New Roman;Times;serif" w:hAnsi="Times New Roman;Times;serif"/>
          <w:b/>
          <w:sz w:val="20"/>
        </w:rPr>
      </w:pPr>
      <w:bookmarkStart w:id="833" w:name="PARTIIOTHERINFORMATION_126030"/>
      <w:bookmarkEnd w:id="833"/>
      <w:r>
        <w:rPr>
          <w:rFonts w:ascii="Times New Roman;Times;serif" w:hAnsi="Times New Roman;Times;serif"/>
          <w:b/>
          <w:sz w:val="20"/>
        </w:rPr>
        <w:t>PART II. OTHER INFORMATION</w:t>
      </w:r>
    </w:p>
    <w:p>
      <w:pPr>
        <w:pStyle w:val="TextBody"/>
        <w:bidi w:val="0"/>
        <w:spacing w:before="0" w:after="120"/>
        <w:ind w:left="0" w:right="0" w:hanging="0"/>
        <w:jc w:val="left"/>
        <w:rPr>
          <w:rFonts w:ascii="Times New Roman;Times;serif" w:hAnsi="Times New Roman;Times;serif"/>
          <w:b/>
          <w:sz w:val="20"/>
        </w:rPr>
      </w:pPr>
      <w:bookmarkStart w:id="834" w:name="Item1LegalProceedings_781146"/>
      <w:bookmarkEnd w:id="834"/>
      <w:r>
        <w:rPr>
          <w:rFonts w:ascii="Times New Roman;Times;serif" w:hAnsi="Times New Roman;Times;serif"/>
          <w:b/>
          <w:sz w:val="20"/>
        </w:rPr>
        <w:t>Item 1. Legal Proceedings</w:t>
      </w:r>
    </w:p>
    <w:p>
      <w:pPr>
        <w:pStyle w:val="TextBody"/>
        <w:bidi w:val="0"/>
        <w:spacing w:before="0" w:after="200"/>
        <w:ind w:left="0" w:right="0" w:firstLine="720"/>
        <w:jc w:val="both"/>
        <w:rPr>
          <w:rFonts w:ascii="Times New Roman;Times;serif" w:hAnsi="Times New Roman;Times;serif"/>
          <w:sz w:val="20"/>
        </w:rPr>
      </w:pPr>
      <w:r>
        <w:rPr>
          <w:rFonts w:ascii="Times New Roman;Times;serif" w:hAnsi="Times New Roman;Times;serif"/>
          <w:sz w:val="20"/>
        </w:rPr>
        <w:t>In addition to the matter discussed below, refer to Note 14 to our Condensed Consolidated Financial Statements and to our 2025 Annual Report for descriptions of certain legal proceedings.</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 xml:space="preserve">In March 2026, NL and several other defendants were served with a complaint in </w:t>
      </w:r>
      <w:r>
        <w:rPr>
          <w:rFonts w:ascii="Times New Roman;Times;serif" w:hAnsi="Times New Roman;Times;serif"/>
          <w:i/>
          <w:sz w:val="20"/>
        </w:rPr>
        <w:t>City of Columbus  v. NL Industries, Inc.</w:t>
      </w:r>
      <w:r>
        <w:rPr>
          <w:rFonts w:ascii="Times New Roman;Times;serif" w:hAnsi="Times New Roman;Times;serif"/>
          <w:sz w:val="20"/>
        </w:rPr>
        <w:t>, (Franklin County, Ohio Court of Common Pleas, Case No. 26 CV 002355), which was subsequently removed to federal court (United States District Court for the Southern District of Ohio, Case No. 2:26-cv-00465-MHW-SCS).  In the complaint, the City of Columbus, Ohio, asserts that NL and several other former lead manufacturers are liable for the cost of replacing lead and galvanized service lines in the City’s water delivery system and related water treatment costs, under theories of public nuisance and civil conspiracy.  We intend to deny liability and will defend vigorously against all claims.</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b/>
          <w:i/>
          <w:sz w:val="20"/>
        </w:rPr>
      </w:pPr>
      <w:r>
        <w:rPr>
          <w:rFonts w:ascii="Times New Roman;Times;serif" w:hAnsi="Times New Roman;Times;serif"/>
          <w:b/>
          <w:i/>
          <w:sz w:val="20"/>
        </w:rPr>
        <w:t>Litigation – CompX</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i/>
          <w:sz w:val="20"/>
        </w:rPr>
        <w:t>South Carolina Public Water Company PFAS Litigation</w:t>
      </w:r>
      <w:r>
        <w:rPr>
          <w:rFonts w:ascii="Times New Roman;Times;serif" w:hAnsi="Times New Roman;Times;serif"/>
          <w:sz w:val="20"/>
        </w:rPr>
        <w:t>. In April 2026, CompX filed answers denying liability in all four pending PFAS cases. CompX intends to defend vigorously against all claims.</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32</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firstLine="720"/>
        <w:jc w:val="both"/>
        <w:rPr/>
      </w:pPr>
      <w:r>
        <w:rPr/>
        <w:t>​</w:t>
      </w:r>
    </w:p>
    <w:p>
      <w:pPr>
        <w:pStyle w:val="TextBody"/>
        <w:bidi w:val="0"/>
        <w:spacing w:before="0" w:after="200"/>
        <w:ind w:left="0" w:right="0" w:hanging="0"/>
        <w:jc w:val="left"/>
        <w:rPr>
          <w:rFonts w:ascii="Times New Roman;Times;serif" w:hAnsi="Times New Roman;Times;serif"/>
          <w:b/>
          <w:sz w:val="20"/>
        </w:rPr>
      </w:pPr>
      <w:bookmarkStart w:id="835" w:name="Item1ARiskFactors_114166"/>
      <w:bookmarkStart w:id="836" w:name="_8f1f250c_a112_42f5_a260_b220720c80fb"/>
      <w:bookmarkEnd w:id="835"/>
      <w:bookmarkEnd w:id="836"/>
      <w:r>
        <w:rPr>
          <w:rFonts w:ascii="Times New Roman;Times;serif" w:hAnsi="Times New Roman;Times;serif"/>
          <w:b/>
          <w:sz w:val="20"/>
        </w:rPr>
        <w:t>Item 1A. Risk Factors</w:t>
      </w:r>
    </w:p>
    <w:p>
      <w:pPr>
        <w:pStyle w:val="TextBody"/>
        <w:bidi w:val="0"/>
        <w:spacing w:before="0" w:after="200"/>
        <w:ind w:left="0" w:right="0" w:firstLine="720"/>
        <w:jc w:val="both"/>
        <w:rPr>
          <w:rFonts w:ascii="Times New Roman;Times;serif" w:hAnsi="Times New Roman;Times;serif"/>
          <w:sz w:val="20"/>
        </w:rPr>
      </w:pPr>
      <w:r>
        <w:rPr>
          <w:rFonts w:ascii="Times New Roman;Times;serif" w:hAnsi="Times New Roman;Times;serif"/>
          <w:sz w:val="20"/>
        </w:rPr>
        <w:t>For a discussion of the risk factors related to our businesses, please refer to Part I, Item 1A, “Risk Factors,” in our 2025 Annual Report.</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33</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sz w:val="20"/>
        </w:rPr>
      </w:pPr>
      <w:bookmarkStart w:id="837" w:name="Exhibits"/>
      <w:bookmarkStart w:id="838" w:name="ITEM6Exhibits"/>
      <w:bookmarkStart w:id="839" w:name="_ee224ac7_ee7c_4e62_a8dd_3a25b04f8b1a"/>
      <w:bookmarkStart w:id="840" w:name="_Item_6._Exhibits"/>
      <w:bookmarkEnd w:id="837"/>
      <w:bookmarkEnd w:id="838"/>
      <w:bookmarkEnd w:id="839"/>
      <w:bookmarkEnd w:id="840"/>
      <w:r>
        <w:rPr>
          <w:rFonts w:ascii="Times New Roman;Times;serif" w:hAnsi="Times New Roman;Times;serif"/>
          <w:b/>
          <w:i w:val="false"/>
          <w:caps w:val="false"/>
          <w:smallCaps w:val="false"/>
          <w:sz w:val="20"/>
        </w:rPr>
        <w:t>Item 6.</w:t>
      </w:r>
      <w:r>
        <w:rPr>
          <w:rFonts w:ascii="Times New Roman;Times;serif" w:hAnsi="Times New Roman;Times;serif"/>
          <w:b/>
          <w:sz w:val="20"/>
        </w:rPr>
        <w:t>Exhibits</w:t>
      </w:r>
    </w:p>
    <w:tbl>
      <w:tblPr>
        <w:tblW w:w="10205" w:type="dxa"/>
        <w:jc w:val="left"/>
        <w:tblInd w:w="0" w:type="dxa"/>
        <w:tblLayout w:type="fixed"/>
        <w:tblCellMar>
          <w:top w:w="0" w:type="dxa"/>
          <w:left w:w="0" w:type="dxa"/>
          <w:bottom w:w="0" w:type="dxa"/>
          <w:right w:w="0" w:type="dxa"/>
        </w:tblCellMar>
      </w:tblPr>
      <w:tblGrid>
        <w:gridCol w:w="596"/>
        <w:gridCol w:w="9609"/>
      </w:tblGrid>
      <w:tr>
        <w:trPr/>
        <w:tc>
          <w:tcPr>
            <w:tcW w:w="5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8">
                      <wp:simplePos x="0" y="0"/>
                      <wp:positionH relativeFrom="character">
                        <wp:align>left</wp:align>
                      </wp:positionH>
                      <wp:positionV relativeFrom="line">
                        <wp:posOffset>635</wp:posOffset>
                      </wp:positionV>
                      <wp:extent cx="378460" cy="431165"/>
                      <wp:effectExtent l="0" t="0" r="0" b="0"/>
                      <wp:wrapNone/>
                      <wp:docPr id="277" name="Frame277"/>
                      <a:graphic xmlns:a="http://schemas.openxmlformats.org/drawingml/2006/main">
                        <a:graphicData uri="http://schemas.microsoft.com/office/word/2010/wordprocessingShape">
                          <wps:wsp>
                            <wps:cNvSpPr txBox="1"/>
                            <wps:spPr>
                              <a:xfrm>
                                <a:off x="0" y="0"/>
                                <a:ext cx="378460" cy="431165"/>
                              </a:xfrm>
                              <a:prstGeom prst="rect"/>
                              <a:solidFill>
                                <a:srgbClr val="FFFFFF"/>
                              </a:solidFill>
                            </wps:spPr>
                            <wps:txbx>
                              <w:txbxContent>
                                <w:p>
                                  <w:pPr>
                                    <w:pStyle w:val="TableContents"/>
                                    <w:bidi w:val="0"/>
                                    <w:spacing w:lineRule="auto" w:line="571" w:before="0" w:after="0"/>
                                    <w:ind w:left="0" w:right="0" w:hanging="0"/>
                                    <w:jc w:val="left"/>
                                    <w:rPr/>
                                  </w:pPr>
                                  <w:r>
                                    <w:rPr/>
                                    <w:t>​</w:t>
                                  </w:r>
                                </w:p>
                                <w:p>
                                  <w:pPr>
                                    <w:pStyle w:val="TableContents"/>
                                    <w:bidi w:val="0"/>
                                    <w:spacing w:lineRule="auto" w:line="571" w:before="0" w:after="0"/>
                                    <w:ind w:left="0" w:right="0" w:hanging="0"/>
                                    <w:jc w:val="left"/>
                                    <w:rPr>
                                      <w:rFonts w:ascii="Times New Roman;Times;serif" w:hAnsi="Times New Roman;Times;serif"/>
                                      <w:sz w:val="2"/>
                                    </w:rPr>
                                  </w:pPr>
                                  <w:r>
                                    <w:rPr>
                                      <w:rFonts w:ascii="Times New Roman;Times;serif" w:hAnsi="Times New Roman;Times;serif"/>
                                      <w:sz w:val="2"/>
                                    </w:rPr>
                                    <w:t>HIDDEN_ROW</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9.8pt;height:33.9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571" w:before="0" w:after="0"/>
                              <w:ind w:left="0" w:right="0" w:hanging="0"/>
                              <w:jc w:val="left"/>
                              <w:rPr/>
                            </w:pPr>
                            <w:r>
                              <w:rPr/>
                              <w:t>​</w:t>
                            </w:r>
                          </w:p>
                          <w:p>
                            <w:pPr>
                              <w:pStyle w:val="TableContents"/>
                              <w:bidi w:val="0"/>
                              <w:spacing w:lineRule="auto" w:line="571" w:before="0" w:after="0"/>
                              <w:ind w:left="0" w:right="0" w:hanging="0"/>
                              <w:jc w:val="left"/>
                              <w:rPr>
                                <w:rFonts w:ascii="Times New Roman;Times;serif" w:hAnsi="Times New Roman;Times;serif"/>
                                <w:sz w:val="2"/>
                              </w:rPr>
                            </w:pPr>
                            <w:r>
                              <w:rPr>
                                <w:rFonts w:ascii="Times New Roman;Times;serif" w:hAnsi="Times New Roman;Times;serif"/>
                                <w:sz w:val="2"/>
                              </w:rPr>
                              <w:t>HIDDEN_ROW</w:t>
                            </w:r>
                          </w:p>
                        </w:txbxContent>
                      </v:textbox>
                      <w10:wrap type="none"/>
                    </v:rect>
                  </w:pict>
                </mc:Fallback>
              </mc:AlternateContent>
            </w:r>
          </w:p>
        </w:tc>
        <w:tc>
          <w:tcPr>
            <w:tcW w:w="96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9">
                      <wp:simplePos x="0" y="0"/>
                      <wp:positionH relativeFrom="character">
                        <wp:align>left</wp:align>
                      </wp:positionH>
                      <wp:positionV relativeFrom="line">
                        <wp:posOffset>635</wp:posOffset>
                      </wp:positionV>
                      <wp:extent cx="6101715" cy="175260"/>
                      <wp:effectExtent l="0" t="0" r="0" b="0"/>
                      <wp:wrapNone/>
                      <wp:docPr id="278" name="Frame278"/>
                      <a:graphic xmlns:a="http://schemas.openxmlformats.org/drawingml/2006/main">
                        <a:graphicData uri="http://schemas.microsoft.com/office/word/2010/wordprocessingShape">
                          <wps:wsp>
                            <wps:cNvSpPr txBox="1"/>
                            <wps:spPr>
                              <a:xfrm>
                                <a:off x="0" y="0"/>
                                <a:ext cx="6101715" cy="175260"/>
                              </a:xfrm>
                              <a:prstGeom prst="rect"/>
                              <a:solidFill>
                                <a:srgbClr val="FFFFFF"/>
                              </a:solidFill>
                            </wps:spPr>
                            <wps:txbx>
                              <w:txbxContent>
                                <w:p>
                                  <w:pPr>
                                    <w:pStyle w:val="TableContents"/>
                                    <w:bidi w:val="0"/>
                                    <w:spacing w:lineRule="auto" w:line="571"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80.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571" w:before="0" w:after="0"/>
                              <w:ind w:left="0" w:right="0" w:hanging="0"/>
                              <w:jc w:val="left"/>
                              <w:rPr/>
                            </w:pPr>
                            <w:r>
                              <w:rPr/>
                              <w:t>​</w:t>
                            </w:r>
                          </w:p>
                        </w:txbxContent>
                      </v:textbox>
                      <w10:wrap type="none"/>
                    </v:rect>
                  </w:pict>
                </mc:Fallback>
              </mc:AlternateContent>
            </w:r>
          </w:p>
        </w:tc>
      </w:tr>
      <w:tr>
        <w:trPr/>
        <w:tc>
          <w:tcPr>
            <w:tcW w:w="59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10.1*</w:t>
            </w:r>
          </w:p>
        </w:tc>
        <w:tc>
          <w:tcPr>
            <w:tcW w:w="9609" w:type="dxa"/>
            <w:tcBorders/>
            <w:vAlign w:val="center"/>
          </w:tcPr>
          <w:p>
            <w:pPr>
              <w:pStyle w:val="TableContents"/>
              <w:bidi w:val="0"/>
              <w:spacing w:before="0" w:after="0"/>
              <w:ind w:left="0" w:right="0" w:hanging="0"/>
              <w:jc w:val="both"/>
              <w:rPr/>
            </w:pPr>
            <w:hyperlink w:anchor="nl-20260331xex10d1.htm">
              <w:r>
                <w:rPr>
                  <w:rStyle w:val="InternetLink"/>
                  <w:rFonts w:ascii="Times New Roman;Times;serif" w:hAnsi="Times New Roman;Times;serif"/>
                  <w:b w:val="false"/>
                  <w:i w:val="false"/>
                  <w:caps w:val="false"/>
                  <w:smallCaps w:val="false"/>
                  <w:sz w:val="20"/>
                </w:rPr>
                <w:t>Restated and Amended Richards Bay Chloride Slag Sales Agreement by and between Richards Bay Titanium (Proprietary) Limited (acting through its sales agent) and Kronos (US), Inc. effective January 1, 2016, as amended through Amendment dated February 13, 2026 (and effective January 1, 2026) between Richards Bay Titanium (Proprietary) Limited (acting through its sales agent Rio Tinto Iron and Titanium Canada Inc.) and Kronos (US), Inc.</w:t>
              </w:r>
            </w:hyperlink>
          </w:p>
        </w:tc>
      </w:tr>
      <w:tr>
        <w:trPr/>
        <w:tc>
          <w:tcPr>
            <w:tcW w:w="596" w:type="dxa"/>
            <w:tcBorders/>
            <w:vAlign w:val="center"/>
          </w:tcPr>
          <w:p>
            <w:pPr>
              <w:pStyle w:val="TableContents"/>
              <w:bidi w:val="0"/>
              <w:spacing w:before="0" w:after="0"/>
              <w:ind w:left="0" w:right="0" w:hanging="0"/>
              <w:jc w:val="left"/>
              <w:rPr/>
            </w:pPr>
            <w:r>
              <w:rPr/>
              <w:t>​</w:t>
            </w:r>
          </w:p>
        </w:tc>
        <w:tc>
          <w:tcPr>
            <w:tcW w:w="9609" w:type="dxa"/>
            <w:tcBorders/>
            <w:vAlign w:val="center"/>
          </w:tcPr>
          <w:p>
            <w:pPr>
              <w:pStyle w:val="TableContents"/>
              <w:bidi w:val="0"/>
              <w:spacing w:before="0" w:after="0"/>
              <w:ind w:left="0" w:right="0" w:hanging="0"/>
              <w:jc w:val="left"/>
              <w:rPr/>
            </w:pPr>
            <w:r>
              <w:rPr/>
              <w:t>​</w:t>
            </w:r>
          </w:p>
        </w:tc>
      </w:tr>
      <w:tr>
        <w:trPr/>
        <w:tc>
          <w:tcPr>
            <w:tcW w:w="59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31.1</w:t>
            </w:r>
          </w:p>
        </w:tc>
        <w:tc>
          <w:tcPr>
            <w:tcW w:w="9609" w:type="dxa"/>
            <w:tcBorders/>
            <w:vAlign w:val="center"/>
          </w:tcPr>
          <w:p>
            <w:pPr>
              <w:pStyle w:val="TableContents"/>
              <w:bidi w:val="0"/>
              <w:spacing w:before="0" w:after="0"/>
              <w:ind w:left="0" w:right="0" w:hanging="0"/>
              <w:jc w:val="left"/>
              <w:rPr/>
            </w:pPr>
            <w:hyperlink w:anchor="nl-20260331xex31d1.htm">
              <w:r>
                <w:rPr>
                  <w:rStyle w:val="InternetLink"/>
                  <w:rFonts w:ascii="Times New Roman;Times;serif" w:hAnsi="Times New Roman;Times;serif"/>
                  <w:b w:val="false"/>
                  <w:i w:val="false"/>
                  <w:caps w:val="false"/>
                  <w:smallCaps w:val="false"/>
                  <w:sz w:val="20"/>
                </w:rPr>
                <w:t>Certification</w:t>
              </w:r>
            </w:hyperlink>
          </w:p>
        </w:tc>
      </w:tr>
      <w:tr>
        <w:trPr/>
        <w:tc>
          <w:tcPr>
            <w:tcW w:w="596" w:type="dxa"/>
            <w:tcBorders/>
            <w:vAlign w:val="center"/>
          </w:tcPr>
          <w:p>
            <w:pPr>
              <w:pStyle w:val="TableContents"/>
              <w:bidi w:val="0"/>
              <w:spacing w:before="0" w:after="0"/>
              <w:ind w:left="0" w:right="0" w:hanging="0"/>
              <w:jc w:val="left"/>
              <w:rPr/>
            </w:pPr>
            <w:r>
              <w:rPr/>
              <w:t>​</w:t>
            </w:r>
          </w:p>
        </w:tc>
        <w:tc>
          <w:tcPr>
            <w:tcW w:w="9609" w:type="dxa"/>
            <w:tcBorders/>
            <w:vAlign w:val="center"/>
          </w:tcPr>
          <w:p>
            <w:pPr>
              <w:pStyle w:val="TableContents"/>
              <w:bidi w:val="0"/>
              <w:spacing w:before="0" w:after="0"/>
              <w:ind w:left="0" w:right="0" w:hanging="0"/>
              <w:jc w:val="left"/>
              <w:rPr/>
            </w:pPr>
            <w:r>
              <w:rPr/>
              <w:t>​</w:t>
            </w:r>
          </w:p>
        </w:tc>
      </w:tr>
      <w:tr>
        <w:trPr/>
        <w:tc>
          <w:tcPr>
            <w:tcW w:w="59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31.2</w:t>
            </w:r>
          </w:p>
        </w:tc>
        <w:tc>
          <w:tcPr>
            <w:tcW w:w="9609" w:type="dxa"/>
            <w:tcBorders/>
            <w:vAlign w:val="center"/>
          </w:tcPr>
          <w:p>
            <w:pPr>
              <w:pStyle w:val="TableContents"/>
              <w:bidi w:val="0"/>
              <w:spacing w:before="0" w:after="0"/>
              <w:ind w:left="0" w:right="0" w:hanging="0"/>
              <w:jc w:val="left"/>
              <w:rPr/>
            </w:pPr>
            <w:hyperlink w:anchor="nl-20260331xex31d2.htm">
              <w:r>
                <w:rPr>
                  <w:rStyle w:val="InternetLink"/>
                  <w:rFonts w:ascii="Times New Roman;Times;serif" w:hAnsi="Times New Roman;Times;serif"/>
                  <w:b w:val="false"/>
                  <w:i w:val="false"/>
                  <w:caps w:val="false"/>
                  <w:smallCaps w:val="false"/>
                  <w:sz w:val="20"/>
                </w:rPr>
                <w:t>Certification</w:t>
              </w:r>
            </w:hyperlink>
          </w:p>
        </w:tc>
      </w:tr>
      <w:tr>
        <w:trPr/>
        <w:tc>
          <w:tcPr>
            <w:tcW w:w="596" w:type="dxa"/>
            <w:tcBorders/>
            <w:vAlign w:val="center"/>
          </w:tcPr>
          <w:p>
            <w:pPr>
              <w:pStyle w:val="TableContents"/>
              <w:bidi w:val="0"/>
              <w:spacing w:before="0" w:after="0"/>
              <w:ind w:left="0" w:right="0" w:hanging="0"/>
              <w:jc w:val="left"/>
              <w:rPr/>
            </w:pPr>
            <w:r>
              <w:rPr/>
              <w:t>​</w:t>
            </w:r>
          </w:p>
        </w:tc>
        <w:tc>
          <w:tcPr>
            <w:tcW w:w="9609" w:type="dxa"/>
            <w:tcBorders/>
            <w:vAlign w:val="center"/>
          </w:tcPr>
          <w:p>
            <w:pPr>
              <w:pStyle w:val="TableContents"/>
              <w:bidi w:val="0"/>
              <w:spacing w:before="0" w:after="0"/>
              <w:ind w:left="0" w:right="0" w:hanging="0"/>
              <w:jc w:val="left"/>
              <w:rPr/>
            </w:pPr>
            <w:r>
              <w:rPr/>
              <w:t>​</w:t>
            </w:r>
          </w:p>
        </w:tc>
      </w:tr>
      <w:tr>
        <w:trPr/>
        <w:tc>
          <w:tcPr>
            <w:tcW w:w="59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32.1</w:t>
            </w:r>
          </w:p>
        </w:tc>
        <w:tc>
          <w:tcPr>
            <w:tcW w:w="9609" w:type="dxa"/>
            <w:tcBorders/>
            <w:vAlign w:val="center"/>
          </w:tcPr>
          <w:p>
            <w:pPr>
              <w:pStyle w:val="TableContents"/>
              <w:bidi w:val="0"/>
              <w:spacing w:before="0" w:after="0"/>
              <w:ind w:left="0" w:right="0" w:hanging="0"/>
              <w:jc w:val="left"/>
              <w:rPr/>
            </w:pPr>
            <w:hyperlink w:anchor="nl-20260331xex32d1.htm">
              <w:r>
                <w:rPr>
                  <w:rStyle w:val="InternetLink"/>
                  <w:rFonts w:ascii="Times New Roman;Times;serif" w:hAnsi="Times New Roman;Times;serif"/>
                  <w:b w:val="false"/>
                  <w:i w:val="false"/>
                  <w:caps w:val="false"/>
                  <w:smallCaps w:val="false"/>
                  <w:sz w:val="20"/>
                </w:rPr>
                <w:t>Certification</w:t>
              </w:r>
            </w:hyperlink>
          </w:p>
        </w:tc>
      </w:tr>
      <w:tr>
        <w:trPr/>
        <w:tc>
          <w:tcPr>
            <w:tcW w:w="596" w:type="dxa"/>
            <w:tcBorders/>
            <w:vAlign w:val="center"/>
          </w:tcPr>
          <w:p>
            <w:pPr>
              <w:pStyle w:val="TableContents"/>
              <w:bidi w:val="0"/>
              <w:spacing w:before="0" w:after="0"/>
              <w:ind w:left="0" w:right="0" w:hanging="0"/>
              <w:jc w:val="left"/>
              <w:rPr/>
            </w:pPr>
            <w:r>
              <w:rPr/>
              <w:t>​</w:t>
            </w:r>
          </w:p>
        </w:tc>
        <w:tc>
          <w:tcPr>
            <w:tcW w:w="9609" w:type="dxa"/>
            <w:tcBorders/>
            <w:vAlign w:val="center"/>
          </w:tcPr>
          <w:p>
            <w:pPr>
              <w:pStyle w:val="TableContents"/>
              <w:bidi w:val="0"/>
              <w:spacing w:before="0" w:after="0"/>
              <w:ind w:left="0" w:right="0" w:hanging="0"/>
              <w:jc w:val="left"/>
              <w:rPr/>
            </w:pPr>
            <w:r>
              <w:rPr/>
              <w:t>​</w:t>
            </w:r>
          </w:p>
        </w:tc>
      </w:tr>
      <w:tr>
        <w:trPr/>
        <w:tc>
          <w:tcPr>
            <w:tcW w:w="59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101.INS</w:t>
            </w:r>
          </w:p>
        </w:tc>
        <w:tc>
          <w:tcPr>
            <w:tcW w:w="9609"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Inline XBRL Instance – the instance document does not appear in the Interactive Data File because its XBRL tags are embedded within the Inline XBRL document.</w:t>
            </w:r>
          </w:p>
        </w:tc>
      </w:tr>
      <w:tr>
        <w:trPr/>
        <w:tc>
          <w:tcPr>
            <w:tcW w:w="596" w:type="dxa"/>
            <w:tcBorders/>
            <w:vAlign w:val="center"/>
          </w:tcPr>
          <w:p>
            <w:pPr>
              <w:pStyle w:val="TableContents"/>
              <w:bidi w:val="0"/>
              <w:spacing w:before="0" w:after="0"/>
              <w:ind w:left="0" w:right="0" w:hanging="0"/>
              <w:jc w:val="left"/>
              <w:rPr/>
            </w:pPr>
            <w:r>
              <w:rPr/>
              <w:t>​</w:t>
            </w:r>
          </w:p>
        </w:tc>
        <w:tc>
          <w:tcPr>
            <w:tcW w:w="9609" w:type="dxa"/>
            <w:tcBorders/>
            <w:vAlign w:val="center"/>
          </w:tcPr>
          <w:p>
            <w:pPr>
              <w:pStyle w:val="TableContents"/>
              <w:bidi w:val="0"/>
              <w:spacing w:before="0" w:after="0"/>
              <w:ind w:left="0" w:right="0" w:hanging="0"/>
              <w:jc w:val="left"/>
              <w:rPr/>
            </w:pPr>
            <w:r>
              <w:rPr/>
              <w:t>​</w:t>
            </w:r>
          </w:p>
        </w:tc>
      </w:tr>
      <w:tr>
        <w:trPr/>
        <w:tc>
          <w:tcPr>
            <w:tcW w:w="59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101.SCH</w:t>
            </w:r>
          </w:p>
        </w:tc>
        <w:tc>
          <w:tcPr>
            <w:tcW w:w="9609"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Inline XBRL Taxonomy Extension Schema</w:t>
            </w:r>
          </w:p>
        </w:tc>
      </w:tr>
      <w:tr>
        <w:trPr/>
        <w:tc>
          <w:tcPr>
            <w:tcW w:w="596" w:type="dxa"/>
            <w:tcBorders/>
            <w:vAlign w:val="center"/>
          </w:tcPr>
          <w:p>
            <w:pPr>
              <w:pStyle w:val="TableContents"/>
              <w:bidi w:val="0"/>
              <w:spacing w:before="0" w:after="0"/>
              <w:ind w:left="0" w:right="0" w:hanging="0"/>
              <w:jc w:val="left"/>
              <w:rPr/>
            </w:pPr>
            <w:r>
              <w:rPr/>
              <w:t>​</w:t>
            </w:r>
          </w:p>
        </w:tc>
        <w:tc>
          <w:tcPr>
            <w:tcW w:w="9609" w:type="dxa"/>
            <w:tcBorders/>
            <w:vAlign w:val="center"/>
          </w:tcPr>
          <w:p>
            <w:pPr>
              <w:pStyle w:val="TableContents"/>
              <w:bidi w:val="0"/>
              <w:spacing w:before="0" w:after="0"/>
              <w:ind w:left="0" w:right="0" w:hanging="0"/>
              <w:jc w:val="left"/>
              <w:rPr/>
            </w:pPr>
            <w:r>
              <w:rPr/>
              <w:t>​</w:t>
            </w:r>
          </w:p>
        </w:tc>
      </w:tr>
      <w:tr>
        <w:trPr/>
        <w:tc>
          <w:tcPr>
            <w:tcW w:w="59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101.CAL</w:t>
            </w:r>
          </w:p>
        </w:tc>
        <w:tc>
          <w:tcPr>
            <w:tcW w:w="9609"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Inline XBRL Taxonomy Extension Calculation Linkbase</w:t>
            </w:r>
          </w:p>
        </w:tc>
      </w:tr>
      <w:tr>
        <w:trPr/>
        <w:tc>
          <w:tcPr>
            <w:tcW w:w="596" w:type="dxa"/>
            <w:tcBorders/>
            <w:vAlign w:val="center"/>
          </w:tcPr>
          <w:p>
            <w:pPr>
              <w:pStyle w:val="TableContents"/>
              <w:bidi w:val="0"/>
              <w:spacing w:before="0" w:after="0"/>
              <w:ind w:left="0" w:right="0" w:hanging="0"/>
              <w:jc w:val="left"/>
              <w:rPr/>
            </w:pPr>
            <w:r>
              <w:rPr/>
              <w:t>​</w:t>
            </w:r>
          </w:p>
        </w:tc>
        <w:tc>
          <w:tcPr>
            <w:tcW w:w="9609" w:type="dxa"/>
            <w:tcBorders/>
            <w:vAlign w:val="center"/>
          </w:tcPr>
          <w:p>
            <w:pPr>
              <w:pStyle w:val="TableContents"/>
              <w:bidi w:val="0"/>
              <w:spacing w:before="0" w:after="0"/>
              <w:ind w:left="0" w:right="0" w:hanging="0"/>
              <w:jc w:val="left"/>
              <w:rPr/>
            </w:pPr>
            <w:r>
              <w:rPr/>
              <w:t>​</w:t>
            </w:r>
          </w:p>
        </w:tc>
      </w:tr>
      <w:tr>
        <w:trPr/>
        <w:tc>
          <w:tcPr>
            <w:tcW w:w="59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101.DEF</w:t>
            </w:r>
          </w:p>
        </w:tc>
        <w:tc>
          <w:tcPr>
            <w:tcW w:w="9609"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Inline XBRL Taxonomy Extension Definition Linkbase</w:t>
            </w:r>
          </w:p>
        </w:tc>
      </w:tr>
      <w:tr>
        <w:trPr/>
        <w:tc>
          <w:tcPr>
            <w:tcW w:w="596" w:type="dxa"/>
            <w:tcBorders/>
            <w:vAlign w:val="center"/>
          </w:tcPr>
          <w:p>
            <w:pPr>
              <w:pStyle w:val="TableContents"/>
              <w:bidi w:val="0"/>
              <w:spacing w:before="0" w:after="0"/>
              <w:ind w:left="0" w:right="0" w:hanging="0"/>
              <w:jc w:val="left"/>
              <w:rPr/>
            </w:pPr>
            <w:r>
              <w:rPr/>
              <w:t>​</w:t>
            </w:r>
          </w:p>
        </w:tc>
        <w:tc>
          <w:tcPr>
            <w:tcW w:w="9609" w:type="dxa"/>
            <w:tcBorders/>
            <w:vAlign w:val="center"/>
          </w:tcPr>
          <w:p>
            <w:pPr>
              <w:pStyle w:val="TableContents"/>
              <w:bidi w:val="0"/>
              <w:spacing w:before="0" w:after="0"/>
              <w:ind w:left="0" w:right="0" w:hanging="0"/>
              <w:jc w:val="left"/>
              <w:rPr/>
            </w:pPr>
            <w:r>
              <w:rPr/>
              <w:t>​</w:t>
            </w:r>
          </w:p>
        </w:tc>
      </w:tr>
      <w:tr>
        <w:trPr/>
        <w:tc>
          <w:tcPr>
            <w:tcW w:w="59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101.LAB</w:t>
            </w:r>
          </w:p>
        </w:tc>
        <w:tc>
          <w:tcPr>
            <w:tcW w:w="9609"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Inline XBRL Taxonomy Extension Label Linkbase</w:t>
            </w:r>
          </w:p>
        </w:tc>
      </w:tr>
      <w:tr>
        <w:trPr/>
        <w:tc>
          <w:tcPr>
            <w:tcW w:w="596" w:type="dxa"/>
            <w:tcBorders/>
            <w:vAlign w:val="center"/>
          </w:tcPr>
          <w:p>
            <w:pPr>
              <w:pStyle w:val="TableContents"/>
              <w:bidi w:val="0"/>
              <w:spacing w:before="0" w:after="0"/>
              <w:ind w:left="0" w:right="0" w:hanging="0"/>
              <w:jc w:val="left"/>
              <w:rPr/>
            </w:pPr>
            <w:r>
              <w:rPr/>
              <w:t>​</w:t>
            </w:r>
          </w:p>
        </w:tc>
        <w:tc>
          <w:tcPr>
            <w:tcW w:w="9609" w:type="dxa"/>
            <w:tcBorders/>
            <w:vAlign w:val="center"/>
          </w:tcPr>
          <w:p>
            <w:pPr>
              <w:pStyle w:val="TableContents"/>
              <w:bidi w:val="0"/>
              <w:spacing w:before="0" w:after="0"/>
              <w:ind w:left="0" w:right="0" w:hanging="0"/>
              <w:jc w:val="left"/>
              <w:rPr/>
            </w:pPr>
            <w:r>
              <w:rPr/>
              <w:t>​</w:t>
            </w:r>
          </w:p>
        </w:tc>
      </w:tr>
      <w:tr>
        <w:trPr/>
        <w:tc>
          <w:tcPr>
            <w:tcW w:w="59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101.PRE</w:t>
            </w:r>
          </w:p>
        </w:tc>
        <w:tc>
          <w:tcPr>
            <w:tcW w:w="9609"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Inline XBRL Taxonomy Extension Presentation Linkbase</w:t>
            </w:r>
          </w:p>
        </w:tc>
      </w:tr>
      <w:tr>
        <w:trPr/>
        <w:tc>
          <w:tcPr>
            <w:tcW w:w="596" w:type="dxa"/>
            <w:tcBorders/>
            <w:vAlign w:val="center"/>
          </w:tcPr>
          <w:p>
            <w:pPr>
              <w:pStyle w:val="TableContents"/>
              <w:bidi w:val="0"/>
              <w:spacing w:before="0" w:after="0"/>
              <w:ind w:left="0" w:right="0" w:hanging="0"/>
              <w:jc w:val="left"/>
              <w:rPr/>
            </w:pPr>
            <w:r>
              <w:rPr/>
              <w:t>​</w:t>
            </w:r>
          </w:p>
        </w:tc>
        <w:tc>
          <w:tcPr>
            <w:tcW w:w="9609" w:type="dxa"/>
            <w:tcBorders/>
            <w:vAlign w:val="center"/>
          </w:tcPr>
          <w:p>
            <w:pPr>
              <w:pStyle w:val="TableContents"/>
              <w:bidi w:val="0"/>
              <w:spacing w:before="0" w:after="0"/>
              <w:ind w:left="0" w:right="0" w:hanging="0"/>
              <w:jc w:val="left"/>
              <w:rPr/>
            </w:pPr>
            <w:r>
              <w:rPr/>
              <w:t>​</w:t>
            </w:r>
          </w:p>
        </w:tc>
      </w:tr>
      <w:tr>
        <w:trPr/>
        <w:tc>
          <w:tcPr>
            <w:tcW w:w="59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104</w:t>
            </w:r>
          </w:p>
        </w:tc>
        <w:tc>
          <w:tcPr>
            <w:tcW w:w="9609"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Cover page Interactive Data File (formatted as Inline XBRL and contained in Exhibit 101)</w:t>
            </w:r>
          </w:p>
        </w:tc>
      </w:tr>
    </w:tbl>
    <w:p>
      <w:pPr>
        <w:pStyle w:val="TextBody"/>
        <w:bidi w:val="0"/>
        <w:spacing w:before="0" w:after="240"/>
        <w:ind w:left="0" w:right="0" w:hanging="0"/>
        <w:jc w:val="both"/>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_______________</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 Certain portions of this exhibit have been omitted pursuant to Item 601(b)(10)(iv) of Regulation S-K.</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34</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both"/>
        <w:rPr/>
      </w:pPr>
      <w:r>
        <w:rPr/>
        <w:t>​</w:t>
      </w:r>
    </w:p>
    <w:p>
      <w:pPr>
        <w:pStyle w:val="TextBody"/>
        <w:bidi w:val="0"/>
        <w:spacing w:before="0" w:after="240"/>
        <w:ind w:left="490" w:right="0" w:hanging="0"/>
        <w:jc w:val="center"/>
        <w:rPr>
          <w:rFonts w:ascii="Times New Roman;Times;serif" w:hAnsi="Times New Roman;Times;serif"/>
          <w:b/>
          <w:sz w:val="20"/>
        </w:rPr>
      </w:pPr>
      <w:bookmarkStart w:id="841" w:name="_d3302aee_0b72_4c48_bbbc_db196264eb12"/>
      <w:bookmarkEnd w:id="841"/>
      <w:r>
        <w:rPr>
          <w:rFonts w:ascii="Times New Roman;Times;serif" w:hAnsi="Times New Roman;Times;serif"/>
          <w:b/>
          <w:sz w:val="20"/>
        </w:rPr>
        <w:t>SIGNATURES</w:t>
      </w:r>
    </w:p>
    <w:p>
      <w:pPr>
        <w:pStyle w:val="TextBody"/>
        <w:bidi w:val="0"/>
        <w:spacing w:before="0" w:after="120"/>
        <w:ind w:left="0" w:right="0" w:firstLine="720"/>
        <w:jc w:val="both"/>
        <w:rPr>
          <w:rFonts w:ascii="Times New Roman;Times;serif" w:hAnsi="Times New Roman;Times;serif"/>
          <w:sz w:val="20"/>
        </w:rPr>
      </w:pPr>
      <w:r>
        <w:rPr>
          <w:rFonts w:ascii="Times New Roman;Times;serif" w:hAnsi="Times New Roman;Times;serif"/>
          <w:sz w:val="20"/>
        </w:rPr>
        <w:t>Pursuant to the requirements of the Securities Exchange Act of 1934, the Registrant has duly caused this report to be signed on its behalf by the undersigned thereunto duly authorized.</w:t>
      </w:r>
    </w:p>
    <w:p>
      <w:pPr>
        <w:pStyle w:val="TextBody"/>
        <w:bidi w:val="0"/>
        <w:spacing w:before="0" w:after="240"/>
        <w:ind w:left="0" w:right="0" w:hanging="0"/>
        <w:jc w:val="center"/>
        <w:rPr/>
      </w:pPr>
      <w:r>
        <w:rPr/>
        <w:t>​</w:t>
      </w:r>
    </w:p>
    <w:tbl>
      <w:tblPr>
        <w:tblW w:w="6242" w:type="dxa"/>
        <w:jc w:val="left"/>
        <w:tblInd w:w="0" w:type="dxa"/>
        <w:tblLayout w:type="fixed"/>
        <w:tblCellMar>
          <w:top w:w="0" w:type="dxa"/>
          <w:left w:w="0" w:type="dxa"/>
          <w:bottom w:w="0" w:type="dxa"/>
          <w:right w:w="0" w:type="dxa"/>
        </w:tblCellMar>
      </w:tblPr>
      <w:tblGrid>
        <w:gridCol w:w="1681"/>
        <w:gridCol w:w="4561"/>
      </w:tblGrid>
      <w:tr>
        <w:trPr/>
        <w:tc>
          <w:tcPr>
            <w:tcW w:w="1681" w:type="dxa"/>
            <w:tcBorders/>
            <w:vAlign w:val="center"/>
          </w:tcPr>
          <w:p>
            <w:pPr>
              <w:pStyle w:val="TableContents"/>
              <w:bidi w:val="0"/>
              <w:spacing w:before="0" w:after="0"/>
              <w:ind w:left="0" w:right="0" w:hanging="0"/>
              <w:jc w:val="left"/>
              <w:rPr/>
            </w:pPr>
            <w:r>
              <w:rPr/>
              <w:t>​</w:t>
            </w:r>
          </w:p>
        </w:tc>
        <w:tc>
          <w:tcPr>
            <w:tcW w:w="45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0">
                      <wp:simplePos x="0" y="0"/>
                      <wp:positionH relativeFrom="character">
                        <wp:align>left</wp:align>
                      </wp:positionH>
                      <wp:positionV relativeFrom="line">
                        <wp:posOffset>635</wp:posOffset>
                      </wp:positionV>
                      <wp:extent cx="2896235" cy="175260"/>
                      <wp:effectExtent l="0" t="0" r="0" b="0"/>
                      <wp:wrapNone/>
                      <wp:docPr id="279" name="Frame279"/>
                      <a:graphic xmlns:a="http://schemas.openxmlformats.org/drawingml/2006/main">
                        <a:graphicData uri="http://schemas.microsoft.com/office/word/2010/wordprocessingShape">
                          <wps:wsp>
                            <wps:cNvSpPr txBox="1"/>
                            <wps:spPr>
                              <a:xfrm>
                                <a:off x="0" y="0"/>
                                <a:ext cx="28962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28.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1681" w:type="dxa"/>
            <w:tcBorders/>
            <w:vAlign w:val="center"/>
          </w:tcPr>
          <w:p>
            <w:pPr>
              <w:pStyle w:val="TableContents"/>
              <w:bidi w:val="0"/>
              <w:spacing w:before="0" w:after="240"/>
              <w:ind w:left="0" w:right="0" w:hanging="0"/>
              <w:jc w:val="both"/>
              <w:rPr/>
            </w:pPr>
            <w:r>
              <w:rPr/>
              <w:t>​</w:t>
            </w:r>
          </w:p>
        </w:tc>
        <w:tc>
          <w:tcPr>
            <w:tcW w:w="4561" w:type="dxa"/>
            <w:tcBorders>
              <w:bottom w:val="single" w:sz="2" w:space="0" w:color="000000"/>
            </w:tcBorders>
            <w:tcMar>
              <w:bottom w:w="28" w:type="dxa"/>
            </w:tcMar>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NL INDUSTRIES, INC.</w:t>
            </w:r>
          </w:p>
        </w:tc>
      </w:tr>
      <w:tr>
        <w:trPr/>
        <w:tc>
          <w:tcPr>
            <w:tcW w:w="1681" w:type="dxa"/>
            <w:tcBorders/>
            <w:vAlign w:val="center"/>
          </w:tcPr>
          <w:p>
            <w:pPr>
              <w:pStyle w:val="TableContents"/>
              <w:bidi w:val="0"/>
              <w:spacing w:before="0" w:after="240"/>
              <w:ind w:left="0" w:right="0" w:hanging="0"/>
              <w:jc w:val="both"/>
              <w:rPr/>
            </w:pPr>
            <w:r>
              <w:rPr/>
              <w:t>​</w:t>
            </w:r>
          </w:p>
        </w:tc>
        <w:tc>
          <w:tcPr>
            <w:tcW w:w="4561" w:type="dxa"/>
            <w:tcBorders>
              <w:top w:val="single" w:sz="2" w:space="0" w:color="000000"/>
            </w:tcBorders>
            <w:tcMar>
              <w:top w:w="28" w:type="dxa"/>
            </w:tcMar>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(Registrant)</w:t>
            </w:r>
          </w:p>
        </w:tc>
      </w:tr>
      <w:tr>
        <w:trPr/>
        <w:tc>
          <w:tcPr>
            <w:tcW w:w="1681" w:type="dxa"/>
            <w:tcBorders/>
            <w:vAlign w:val="center"/>
          </w:tcPr>
          <w:p>
            <w:pPr>
              <w:pStyle w:val="TableContents"/>
              <w:bidi w:val="0"/>
              <w:spacing w:before="0" w:after="240"/>
              <w:ind w:left="0" w:right="0" w:hanging="0"/>
              <w:jc w:val="both"/>
              <w:rPr/>
            </w:pPr>
            <w:r>
              <w:rPr/>
              <w:t>​</w:t>
            </w:r>
          </w:p>
        </w:tc>
        <w:tc>
          <w:tcPr>
            <w:tcW w:w="4561" w:type="dxa"/>
            <w:tcBorders/>
            <w:vAlign w:val="center"/>
          </w:tcPr>
          <w:p>
            <w:pPr>
              <w:pStyle w:val="TableContents"/>
              <w:bidi w:val="0"/>
              <w:spacing w:before="0" w:after="240"/>
              <w:ind w:left="0" w:right="0" w:hanging="0"/>
              <w:jc w:val="both"/>
              <w:rPr/>
            </w:pPr>
            <w:r>
              <w:rPr/>
              <w:t>​</w:t>
            </w:r>
          </w:p>
        </w:tc>
      </w:tr>
      <w:tr>
        <w:trPr/>
        <w:tc>
          <w:tcPr>
            <w:tcW w:w="1681" w:type="dxa"/>
            <w:tcBorders/>
            <w:vAlign w:val="center"/>
          </w:tcPr>
          <w:p>
            <w:pPr>
              <w:pStyle w:val="TableContents"/>
              <w:bidi w:val="0"/>
              <w:spacing w:before="0" w:after="240"/>
              <w:ind w:left="0" w:right="0" w:hanging="0"/>
              <w:jc w:val="both"/>
              <w:rPr/>
            </w:pPr>
            <w:r>
              <w:rPr/>
              <w:t>​</w:t>
            </w:r>
          </w:p>
        </w:tc>
        <w:tc>
          <w:tcPr>
            <w:tcW w:w="4561" w:type="dxa"/>
            <w:tcBorders/>
            <w:vAlign w:val="center"/>
          </w:tcPr>
          <w:p>
            <w:pPr>
              <w:pStyle w:val="TableContents"/>
              <w:bidi w:val="0"/>
              <w:spacing w:before="0" w:after="240"/>
              <w:ind w:left="0" w:right="0" w:hanging="0"/>
              <w:jc w:val="both"/>
              <w:rPr/>
            </w:pPr>
            <w:r>
              <w:rPr/>
              <w:t>​</w:t>
            </w:r>
          </w:p>
        </w:tc>
      </w:tr>
      <w:tr>
        <w:trPr/>
        <w:tc>
          <w:tcPr>
            <w:tcW w:w="1681" w:type="dxa"/>
            <w:tcBorders/>
            <w:vAlign w:val="center"/>
          </w:tcPr>
          <w:p>
            <w:pPr>
              <w:pStyle w:val="TableContents"/>
              <w:bidi w:val="0"/>
              <w:spacing w:before="0" w:after="240"/>
              <w:ind w:left="0" w:right="0" w:hanging="0"/>
              <w:jc w:val="both"/>
              <w:rPr/>
            </w:pPr>
            <w:r>
              <w:rPr/>
              <w:t>​</w:t>
            </w:r>
          </w:p>
        </w:tc>
        <w:tc>
          <w:tcPr>
            <w:tcW w:w="4561" w:type="dxa"/>
            <w:tcBorders/>
            <w:vAlign w:val="center"/>
          </w:tcPr>
          <w:p>
            <w:pPr>
              <w:pStyle w:val="TableContents"/>
              <w:bidi w:val="0"/>
              <w:spacing w:before="0" w:after="240"/>
              <w:ind w:left="0" w:right="0" w:hanging="0"/>
              <w:jc w:val="both"/>
              <w:rPr/>
            </w:pPr>
            <w:r>
              <w:rPr/>
              <w:t>​</w:t>
            </w:r>
          </w:p>
        </w:tc>
      </w:tr>
      <w:tr>
        <w:trPr/>
        <w:tc>
          <w:tcPr>
            <w:tcW w:w="1681" w:type="dxa"/>
            <w:tcBorders/>
            <w:vAlign w:val="center"/>
          </w:tcPr>
          <w:p>
            <w:pPr>
              <w:pStyle w:val="TableContents"/>
              <w:bidi w:val="0"/>
              <w:spacing w:before="0" w:after="240"/>
              <w:ind w:left="0" w:right="0" w:hanging="0"/>
              <w:jc w:val="both"/>
              <w:rPr/>
            </w:pPr>
            <w:r>
              <w:rPr/>
              <w:t>​</w:t>
            </w:r>
          </w:p>
        </w:tc>
        <w:tc>
          <w:tcPr>
            <w:tcW w:w="4561" w:type="dxa"/>
            <w:tcBorders/>
            <w:vAlign w:val="center"/>
          </w:tcPr>
          <w:p>
            <w:pPr>
              <w:pStyle w:val="TableContents"/>
              <w:bidi w:val="0"/>
              <w:spacing w:before="0" w:after="240"/>
              <w:ind w:left="0" w:right="0" w:hanging="0"/>
              <w:jc w:val="both"/>
              <w:rPr/>
            </w:pPr>
            <w:r>
              <w:rPr/>
              <w:t>​</w:t>
            </w:r>
          </w:p>
        </w:tc>
      </w:tr>
      <w:tr>
        <w:trPr/>
        <w:tc>
          <w:tcPr>
            <w:tcW w:w="1681"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Date:  May 6, 2026</w:t>
            </w:r>
          </w:p>
        </w:tc>
        <w:tc>
          <w:tcPr>
            <w:tcW w:w="4561" w:type="dxa"/>
            <w:tcBorders>
              <w:bottom w:val="single" w:sz="2" w:space="0" w:color="000000"/>
            </w:tcBorders>
            <w:tcMar>
              <w:bottom w:w="28" w:type="dxa"/>
            </w:tcMar>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 xml:space="preserve">/s/ Amy Allbach Samford </w:t>
            </w:r>
          </w:p>
        </w:tc>
      </w:tr>
      <w:tr>
        <w:trPr/>
        <w:tc>
          <w:tcPr>
            <w:tcW w:w="1681" w:type="dxa"/>
            <w:tcBorders/>
            <w:vAlign w:val="center"/>
          </w:tcPr>
          <w:p>
            <w:pPr>
              <w:pStyle w:val="TableContents"/>
              <w:bidi w:val="0"/>
              <w:spacing w:before="0" w:after="240"/>
              <w:ind w:left="0" w:right="0" w:hanging="0"/>
              <w:jc w:val="both"/>
              <w:rPr/>
            </w:pPr>
            <w:r>
              <w:rPr/>
              <w:t>​</w:t>
            </w:r>
          </w:p>
        </w:tc>
        <w:tc>
          <w:tcPr>
            <w:tcW w:w="4561" w:type="dxa"/>
            <w:tcBorders>
              <w:top w:val="single" w:sz="2" w:space="0" w:color="000000"/>
            </w:tcBorders>
            <w:tcMar>
              <w:top w:w="28" w:type="dxa"/>
            </w:tcMar>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 xml:space="preserve">Amy Allbach Samford </w:t>
            </w:r>
          </w:p>
        </w:tc>
      </w:tr>
      <w:tr>
        <w:trPr/>
        <w:tc>
          <w:tcPr>
            <w:tcW w:w="1681" w:type="dxa"/>
            <w:tcBorders/>
            <w:vAlign w:val="center"/>
          </w:tcPr>
          <w:p>
            <w:pPr>
              <w:pStyle w:val="TableContents"/>
              <w:bidi w:val="0"/>
              <w:spacing w:before="0" w:after="240"/>
              <w:ind w:left="0" w:right="0" w:hanging="0"/>
              <w:jc w:val="both"/>
              <w:rPr/>
            </w:pPr>
            <w:r>
              <w:rPr/>
              <w:t>​</w:t>
            </w:r>
          </w:p>
        </w:tc>
        <w:tc>
          <w:tcPr>
            <w:tcW w:w="4561"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(Executive Vice President and Chief Financial Officer)</w:t>
            </w:r>
          </w:p>
        </w:tc>
      </w:tr>
      <w:tr>
        <w:trPr/>
        <w:tc>
          <w:tcPr>
            <w:tcW w:w="1681" w:type="dxa"/>
            <w:tcBorders/>
            <w:vAlign w:val="center"/>
          </w:tcPr>
          <w:p>
            <w:pPr>
              <w:pStyle w:val="TableContents"/>
              <w:bidi w:val="0"/>
              <w:spacing w:before="0" w:after="240"/>
              <w:ind w:left="0" w:right="0" w:hanging="0"/>
              <w:jc w:val="both"/>
              <w:rPr/>
            </w:pPr>
            <w:r>
              <w:rPr/>
              <w:t>​</w:t>
            </w:r>
          </w:p>
        </w:tc>
        <w:tc>
          <w:tcPr>
            <w:tcW w:w="4561" w:type="dxa"/>
            <w:tcBorders/>
            <w:vAlign w:val="center"/>
          </w:tcPr>
          <w:p>
            <w:pPr>
              <w:pStyle w:val="TableContents"/>
              <w:bidi w:val="0"/>
              <w:spacing w:before="0" w:after="240"/>
              <w:ind w:left="0" w:right="0" w:hanging="0"/>
              <w:jc w:val="both"/>
              <w:rPr/>
            </w:pPr>
            <w:r>
              <w:rPr/>
              <w:t>​</w:t>
            </w:r>
          </w:p>
        </w:tc>
      </w:tr>
      <w:tr>
        <w:trPr/>
        <w:tc>
          <w:tcPr>
            <w:tcW w:w="1681"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Date:  May 6, 2026</w:t>
            </w:r>
          </w:p>
        </w:tc>
        <w:tc>
          <w:tcPr>
            <w:tcW w:w="4561" w:type="dxa"/>
            <w:tcBorders>
              <w:bottom w:val="single" w:sz="2" w:space="0" w:color="000000"/>
            </w:tcBorders>
            <w:tcMar>
              <w:bottom w:w="28" w:type="dxa"/>
            </w:tcMar>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/s/ Amy E. Ruf</w:t>
            </w:r>
          </w:p>
        </w:tc>
      </w:tr>
      <w:tr>
        <w:trPr/>
        <w:tc>
          <w:tcPr>
            <w:tcW w:w="1681" w:type="dxa"/>
            <w:tcBorders/>
            <w:vAlign w:val="center"/>
          </w:tcPr>
          <w:p>
            <w:pPr>
              <w:pStyle w:val="TableContents"/>
              <w:bidi w:val="0"/>
              <w:spacing w:before="0" w:after="240"/>
              <w:ind w:left="0" w:right="0" w:hanging="0"/>
              <w:jc w:val="both"/>
              <w:rPr/>
            </w:pPr>
            <w:r>
              <w:rPr/>
              <w:t>​</w:t>
            </w:r>
          </w:p>
        </w:tc>
        <w:tc>
          <w:tcPr>
            <w:tcW w:w="4561" w:type="dxa"/>
            <w:tcBorders>
              <w:top w:val="single" w:sz="2" w:space="0" w:color="000000"/>
            </w:tcBorders>
            <w:tcMar>
              <w:top w:w="28" w:type="dxa"/>
            </w:tcMar>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Amy E. Ruf</w:t>
            </w:r>
          </w:p>
        </w:tc>
      </w:tr>
      <w:tr>
        <w:trPr/>
        <w:tc>
          <w:tcPr>
            <w:tcW w:w="1681" w:type="dxa"/>
            <w:tcBorders/>
            <w:vAlign w:val="center"/>
          </w:tcPr>
          <w:p>
            <w:pPr>
              <w:pStyle w:val="TableContents"/>
              <w:bidi w:val="0"/>
              <w:spacing w:before="0" w:after="240"/>
              <w:ind w:left="0" w:right="0" w:hanging="0"/>
              <w:jc w:val="both"/>
              <w:rPr/>
            </w:pPr>
            <w:r>
              <w:rPr/>
              <w:t>​</w:t>
            </w:r>
          </w:p>
        </w:tc>
        <w:tc>
          <w:tcPr>
            <w:tcW w:w="456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(Vice President and Controller)</w:t>
            </w:r>
          </w:p>
        </w:tc>
      </w:tr>
      <w:tr>
        <w:trPr/>
        <w:tc>
          <w:tcPr>
            <w:tcW w:w="1681" w:type="dxa"/>
            <w:tcBorders/>
            <w:vAlign w:val="center"/>
          </w:tcPr>
          <w:p>
            <w:pPr>
              <w:pStyle w:val="TableContents"/>
              <w:bidi w:val="0"/>
              <w:spacing w:before="0" w:after="240"/>
              <w:ind w:left="0" w:right="0" w:hanging="0"/>
              <w:jc w:val="both"/>
              <w:rPr/>
            </w:pPr>
            <w:r>
              <w:rPr/>
              <w:t>​</w:t>
            </w:r>
          </w:p>
        </w:tc>
        <w:tc>
          <w:tcPr>
            <w:tcW w:w="4561" w:type="dxa"/>
            <w:tcBorders/>
            <w:vAlign w:val="center"/>
          </w:tcPr>
          <w:p>
            <w:pPr>
              <w:pStyle w:val="TableContents"/>
              <w:bidi w:val="0"/>
              <w:spacing w:before="0" w:after="0"/>
              <w:ind w:left="0" w:right="0" w:hanging="0"/>
              <w:jc w:val="left"/>
              <w:rPr/>
            </w:pPr>
            <w:r>
              <w:rPr/>
              <w:t>​</w:t>
            </w:r>
          </w:p>
        </w:tc>
      </w:tr>
    </w:tbl>
    <w:p>
      <w:pPr>
        <w:pStyle w:val="TextBody"/>
        <w:bidi w:val="0"/>
        <w:spacing w:before="0" w:after="0"/>
        <w:ind w:left="0" w:right="0" w:hanging="0"/>
        <w:jc w:val="left"/>
        <w:rPr/>
      </w:pPr>
      <w:r>
        <w:rPr/>
        <w:t>​</w:t>
      </w:r>
    </w:p>
    <w:p>
      <w:pPr>
        <w:pStyle w:val="TextBody"/>
        <w:bidi w:val="0"/>
        <w:spacing w:before="0" w:after="240"/>
        <w:ind w:left="0" w:right="0" w:hanging="0"/>
        <w:jc w:val="both"/>
        <w:rPr/>
      </w:pPr>
      <w:r>
        <w:rPr/>
        <w:t>​</w:t>
      </w:r>
    </w:p>
    <w:p>
      <w:pPr>
        <w:pStyle w:val="TextBody"/>
        <w:bidi w:val="0"/>
        <w:spacing w:before="0" w:after="0"/>
        <w:ind w:left="0" w:right="0" w:hanging="0"/>
        <w:jc w:val="left"/>
        <w:rPr/>
      </w:pPr>
      <w:r>
        <w:rPr/>
        <w:t>​</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35</w:t>
      </w:r>
    </w:p>
    <w:p>
      <w:pPr>
        <w:pStyle w:val="TextBody"/>
        <w:bidi w:val="0"/>
        <w:spacing w:before="0" w:after="0"/>
        <w:ind w:left="0" w:right="0" w:hanging="0"/>
        <w:jc w:val="right"/>
        <w:rPr>
          <w:rFonts w:ascii="Arial;Helvetica;sans-serif" w:hAnsi="Arial;Helvetica;sans-serif"/>
          <w:spacing w:val="2"/>
          <w:sz w:val="22"/>
        </w:rPr>
      </w:pPr>
      <w:bookmarkStart w:id="842" w:name="nl-20260331xex10d1.htm"/>
      <w:bookmarkStart w:id="843" w:name="ksnl20260331xex10d1"/>
      <w:bookmarkEnd w:id="842"/>
      <w:bookmarkEnd w:id="843"/>
      <w:r>
        <w:rPr>
          <w:rFonts w:ascii="Arial;Helvetica;sans-serif" w:hAnsi="Arial;Helvetica;sans-serif"/>
          <w:spacing w:val="2"/>
          <w:sz w:val="22"/>
        </w:rPr>
        <w:t>Exhibit 10.1</w:t>
      </w:r>
      <w:r>
        <w:br w:type="page"/>
      </w:r>
    </w:p>
    <w:p>
      <w:pPr>
        <w:pStyle w:val="TextBody"/>
        <w:bidi w:val="0"/>
        <w:spacing w:before="0" w:after="0"/>
        <w:ind w:left="0" w:right="0" w:hanging="0"/>
        <w:jc w:val="left"/>
        <w:rPr>
          <w:spacing w:val="2"/>
        </w:rPr>
      </w:pPr>
      <w:r>
        <w:rPr>
          <w:spacing w:val="2"/>
        </w:rPr>
        <w:t>​</w:t>
      </w:r>
    </w:p>
    <w:p>
      <w:pPr>
        <w:pStyle w:val="TextBody"/>
        <w:bidi w:val="0"/>
        <w:spacing w:before="0" w:after="0"/>
        <w:ind w:left="0" w:right="0" w:hanging="0"/>
        <w:jc w:val="left"/>
        <w:rPr>
          <w:rFonts w:ascii="Arial;Helvetica;sans-serif" w:hAnsi="Arial;Helvetica;sans-serif"/>
          <w:b/>
          <w:spacing w:val="2"/>
          <w:sz w:val="22"/>
        </w:rPr>
      </w:pPr>
      <w:r>
        <w:rPr>
          <w:rFonts w:ascii="Arial;Helvetica;sans-serif" w:hAnsi="Arial;Helvetica;sans-serif"/>
          <w:b/>
          <w:spacing w:val="2"/>
          <w:sz w:val="22"/>
        </w:rPr>
        <w:t>CERTAIN CONFIDENTIAL INFORMATION CONTAINED IN THIS DOCUMENT, MARKED BY [***], HAS BEEN OMITTED BECAUSE IT IS BOTH (1) NOT MATERIAL AND (2) IS THE TYPE THAT THE REGISTRANT TREATS AS PRIVATE OR CONFIDENTIAL.</w:t>
      </w:r>
    </w:p>
    <w:p>
      <w:pPr>
        <w:pStyle w:val="TextBody"/>
        <w:bidi w:val="0"/>
        <w:spacing w:before="0" w:after="0"/>
        <w:ind w:left="0" w:right="0" w:hanging="0"/>
        <w:jc w:val="left"/>
        <w:rPr>
          <w:spacing w:val="2"/>
        </w:rPr>
      </w:pPr>
      <w:r>
        <w:rPr>
          <w:spacing w:val="2"/>
        </w:rPr>
        <w:t>​</w:t>
      </w:r>
    </w:p>
    <w:p>
      <w:pPr>
        <w:pStyle w:val="TextBody"/>
        <w:bidi w:val="0"/>
        <w:spacing w:before="0" w:after="0"/>
        <w:ind w:left="0" w:right="0" w:hanging="0"/>
        <w:jc w:val="left"/>
        <w:rPr>
          <w:rFonts w:ascii="Arial;Helvetica;sans-serif" w:hAnsi="Arial;Helvetica;sans-serif"/>
          <w:i/>
          <w:spacing w:val="2"/>
          <w:sz w:val="22"/>
        </w:rPr>
      </w:pPr>
      <w:r>
        <w:rPr>
          <w:rFonts w:ascii="Arial;Helvetica;sans-serif" w:hAnsi="Arial;Helvetica;sans-serif"/>
          <w:i/>
          <w:spacing w:val="2"/>
          <w:sz w:val="22"/>
        </w:rPr>
        <w:t>This document is a composite conformed copy of the Restated and Amended Richards Bay Chloride Slag Sales Agreement by and between Richards Bay Titanium (Proprietary) Limited (acting through its sales agent) and Kronos (US), Inc. effective January 1, 2016, as amended through Amendment dated February 13, 2026 (and effective January 1, 2026) between Richards Bay Titanium (Proprietary) Limited (acting through its sales agent Rio Tinto Iron and Titanium Canada Inc.) and Kronos (US), Inc.</w:t>
      </w:r>
    </w:p>
    <w:p>
      <w:pPr>
        <w:pStyle w:val="TextBody"/>
        <w:bidi w:val="0"/>
        <w:spacing w:before="0" w:after="0"/>
        <w:ind w:left="0" w:right="0" w:hanging="0"/>
        <w:jc w:val="center"/>
        <w:rPr>
          <w:spacing w:val="2"/>
        </w:rPr>
      </w:pPr>
      <w:r>
        <w:rPr>
          <w:spacing w:val="2"/>
        </w:rPr>
        <w:t>​</w:t>
      </w:r>
    </w:p>
    <w:p>
      <w:pPr>
        <w:pStyle w:val="TextBody"/>
        <w:bidi w:val="0"/>
        <w:spacing w:before="0" w:after="0"/>
        <w:ind w:left="0" w:right="0" w:hanging="0"/>
        <w:jc w:val="center"/>
        <w:rPr>
          <w:rFonts w:ascii="Arial;Helvetica;sans-serif" w:hAnsi="Arial;Helvetica;sans-serif"/>
          <w:b/>
          <w:spacing w:val="2"/>
          <w:sz w:val="22"/>
        </w:rPr>
      </w:pPr>
      <w:r>
        <w:rPr>
          <w:rFonts w:ascii="Arial;Helvetica;sans-serif" w:hAnsi="Arial;Helvetica;sans-serif"/>
          <w:b/>
          <w:spacing w:val="2"/>
          <w:sz w:val="22"/>
        </w:rPr>
        <w:t>RICHARDS BAY CHLORIDE SLAG SALES AGREEMENT</w:t>
      </w:r>
    </w:p>
    <w:p>
      <w:pPr>
        <w:pStyle w:val="TextBody"/>
        <w:bidi w:val="0"/>
        <w:spacing w:before="341" w:after="0"/>
        <w:ind w:left="0" w:right="0" w:hanging="0"/>
        <w:jc w:val="both"/>
        <w:rPr>
          <w:rFonts w:ascii="Times New Roman;Times;serif" w:hAnsi="Times New Roman;Times;serif"/>
          <w:sz w:val="20"/>
        </w:rPr>
      </w:pPr>
      <w:r>
        <w:rPr>
          <w:rFonts w:ascii="Arial;Helvetica;sans-serif" w:hAnsi="Arial;Helvetica;sans-serif"/>
          <w:b/>
          <w:spacing w:val="9"/>
          <w:sz w:val="22"/>
        </w:rPr>
        <w:t xml:space="preserve">THIS RESTATED AND AMENDED AGREEMENT </w:t>
      </w:r>
      <w:r>
        <w:rPr>
          <w:rFonts w:ascii="Arial;Helvetica;sans-serif" w:hAnsi="Arial;Helvetica;sans-serif"/>
          <w:spacing w:val="9"/>
          <w:sz w:val="22"/>
        </w:rPr>
        <w:t>is made as of</w:t>
      </w:r>
      <w:r>
        <w:rPr>
          <w:rFonts w:ascii="Times New Roman;Times;serif" w:hAnsi="Times New Roman;Times;serif"/>
          <w:color w:val="284B88"/>
          <w:spacing w:val="9"/>
          <w:sz w:val="20"/>
        </w:rPr>
        <w:t xml:space="preserve"> </w:t>
      </w:r>
      <w:r>
        <w:rPr>
          <w:rFonts w:ascii="Arial;Helvetica;sans-serif" w:hAnsi="Arial;Helvetica;sans-serif"/>
          <w:b/>
          <w:spacing w:val="9"/>
          <w:sz w:val="22"/>
        </w:rPr>
        <w:t>January 21, 2016</w:t>
      </w:r>
      <w:r>
        <w:rPr>
          <w:rFonts w:ascii="Times New Roman;Times;serif" w:hAnsi="Times New Roman;Times;serif"/>
          <w:sz w:val="20"/>
        </w:rPr>
        <w:t xml:space="preserve"> </w:t>
      </w:r>
      <w:r>
        <w:rPr>
          <w:rFonts w:ascii="Arial;Helvetica;sans-serif" w:hAnsi="Arial;Helvetica;sans-serif"/>
          <w:sz w:val="22"/>
        </w:rPr>
        <w:t xml:space="preserve">but effective January 1, 2016 by and between </w:t>
      </w:r>
      <w:r>
        <w:rPr>
          <w:rFonts w:ascii="Arial;Helvetica;sans-serif" w:hAnsi="Arial;Helvetica;sans-serif"/>
          <w:b/>
          <w:sz w:val="22"/>
        </w:rPr>
        <w:t xml:space="preserve">RICHARDS BAY TITANIUM (PROPRIETARY) LIMITED, </w:t>
      </w:r>
      <w:r>
        <w:rPr>
          <w:rFonts w:ascii="Arial;Helvetica;sans-serif" w:hAnsi="Arial;Helvetica;sans-serif"/>
          <w:sz w:val="22"/>
        </w:rPr>
        <w:t xml:space="preserve">a South African Corporation with offices at Richards Bay, KwaZulu Natal, South Africa (hereafter "RBT") (acting through its sales agent </w:t>
      </w:r>
      <w:r>
        <w:rPr>
          <w:rFonts w:ascii="Arial;Helvetica;sans-serif" w:hAnsi="Arial;Helvetica;sans-serif"/>
          <w:b/>
          <w:sz w:val="22"/>
        </w:rPr>
        <w:t xml:space="preserve">RIO TINTO IRON &amp; TITANIUM LIMITED </w:t>
      </w:r>
      <w:r>
        <w:rPr>
          <w:rFonts w:ascii="Arial;Helvetica;sans-serif" w:hAnsi="Arial;Helvetica;sans-serif"/>
          <w:sz w:val="22"/>
        </w:rPr>
        <w:t xml:space="preserve">a corporation with offices at 6 St. James's Square, London, SW1Y 4AD, United Kingdom (hereinafter "RIT")) and </w:t>
      </w:r>
      <w:r>
        <w:rPr>
          <w:rFonts w:ascii="Arial;Helvetica;sans-serif" w:hAnsi="Arial;Helvetica;sans-serif"/>
          <w:b/>
          <w:sz w:val="22"/>
        </w:rPr>
        <w:t xml:space="preserve">KRONOS (US), INC., </w:t>
      </w:r>
      <w:r>
        <w:rPr>
          <w:rFonts w:ascii="Arial;Helvetica;sans-serif" w:hAnsi="Arial;Helvetica;sans-serif"/>
          <w:sz w:val="22"/>
        </w:rPr>
        <w:t>a Delaware corporation with offices at Three Lincoln Centre, 5430 LBJ Freeway, Dallas, Texas 75240, U.S.A. (hereafter "Buyer") (herein the "Agreement").</w:t>
      </w:r>
    </w:p>
    <w:p>
      <w:pPr>
        <w:pStyle w:val="TextBody"/>
        <w:bidi w:val="0"/>
        <w:spacing w:before="0" w:after="0"/>
        <w:ind w:left="0" w:right="0" w:hanging="0"/>
        <w:jc w:val="both"/>
        <w:rPr/>
      </w:pPr>
      <w:r>
        <w:rPr/>
        <w:t>​</w:t>
      </w:r>
    </w:p>
    <w:p>
      <w:pPr>
        <w:pStyle w:val="TextBody"/>
        <w:bidi w:val="0"/>
        <w:spacing w:before="0" w:after="240"/>
        <w:ind w:left="0" w:right="0" w:hanging="0"/>
        <w:jc w:val="center"/>
        <w:rPr>
          <w:rFonts w:ascii="Arial;Helvetica;sans-serif" w:hAnsi="Arial;Helvetica;sans-serif"/>
          <w:b/>
          <w:spacing w:val="1"/>
          <w:sz w:val="22"/>
        </w:rPr>
      </w:pPr>
      <w:r>
        <w:rPr>
          <w:rFonts w:ascii="Arial;Helvetica;sans-serif" w:hAnsi="Arial;Helvetica;sans-serif"/>
          <w:b/>
          <w:spacing w:val="1"/>
          <w:sz w:val="22"/>
        </w:rPr>
        <w:t>WITNESSETH</w:t>
      </w:r>
    </w:p>
    <w:p>
      <w:pPr>
        <w:pStyle w:val="TextBody"/>
        <w:bidi w:val="0"/>
        <w:spacing w:before="0" w:after="0"/>
        <w:ind w:left="0" w:right="0" w:hanging="0"/>
        <w:jc w:val="left"/>
        <w:rPr>
          <w:rFonts w:ascii="Arial;Helvetica;sans-serif" w:hAnsi="Arial;Helvetica;sans-serif"/>
          <w:b/>
          <w:sz w:val="22"/>
        </w:rPr>
      </w:pPr>
      <w:r>
        <w:rPr>
          <w:rFonts w:ascii="Arial;Helvetica;sans-serif" w:hAnsi="Arial;Helvetica;sans-serif"/>
          <w:b/>
          <w:sz w:val="22"/>
        </w:rPr>
        <w:t>WHEREAS:</w:t>
      </w:r>
    </w:p>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230"/>
        <w:gridCol w:w="9975"/>
      </w:tblGrid>
      <w:tr>
        <w:trPr/>
        <w:tc>
          <w:tcPr>
            <w:tcW w:w="230" w:type="dxa"/>
            <w:tcBorders/>
            <w:vAlign w:val="center"/>
          </w:tcPr>
          <w:p>
            <w:pPr>
              <w:pStyle w:val="TableContents"/>
              <w:bidi w:val="0"/>
              <w:spacing w:before="0" w:after="283"/>
              <w:jc w:val="left"/>
              <w:rPr>
                <w:rFonts w:ascii="Arial;Helvetica;sans-serif" w:hAnsi="Arial;Helvetica;sans-serif"/>
                <w:sz w:val="22"/>
              </w:rPr>
            </w:pPr>
            <w:r>
              <w:rPr>
                <w:rFonts w:ascii="Arial;Helvetica;sans-serif" w:hAnsi="Arial;Helvetica;sans-serif"/>
                <w:sz w:val="22"/>
              </w:rPr>
              <w:t>A.</w:t>
            </w:r>
          </w:p>
        </w:tc>
        <w:tc>
          <w:tcPr>
            <w:tcW w:w="9975" w:type="dxa"/>
            <w:tcBorders/>
            <w:vAlign w:val="center"/>
          </w:tcPr>
          <w:p>
            <w:pPr>
              <w:pStyle w:val="TableContents"/>
              <w:bidi w:val="0"/>
              <w:spacing w:before="0" w:after="283"/>
              <w:jc w:val="left"/>
              <w:rPr>
                <w:rFonts w:ascii="Arial;Helvetica;sans-serif" w:hAnsi="Arial;Helvetica;sans-serif"/>
                <w:b w:val="false"/>
                <w:i w:val="false"/>
                <w:caps w:val="false"/>
                <w:smallCaps w:val="false"/>
                <w:sz w:val="22"/>
              </w:rPr>
            </w:pPr>
            <w:r>
              <w:rPr>
                <w:rFonts w:ascii="Arial;Helvetica;sans-serif" w:hAnsi="Arial;Helvetica;sans-serif"/>
                <w:b w:val="false"/>
                <w:i w:val="false"/>
                <w:caps w:val="false"/>
                <w:smallCaps w:val="false"/>
                <w:sz w:val="22"/>
              </w:rPr>
              <w:t>RBT is a significant producer of titanium bearing slag and Buyer is a significant consumer of titanium bearing slag of the type produced by RBT;</w:t>
            </w:r>
          </w:p>
        </w:tc>
      </w:tr>
    </w:tbl>
    <w:p>
      <w:pPr>
        <w:pStyle w:val="TextBody"/>
        <w:pBdr/>
        <w:bidi w:val="0"/>
        <w:spacing w:before="0" w:after="0"/>
        <w:ind w:left="0" w:right="0" w:hanging="720"/>
        <w:jc w:val="both"/>
        <w:rPr/>
      </w:pPr>
      <w:r>
        <w:rPr/>
        <w:t>​</w:t>
      </w:r>
    </w:p>
    <w:tbl>
      <w:tblPr>
        <w:tblW w:w="5905" w:type="dxa"/>
        <w:jc w:val="left"/>
        <w:tblInd w:w="0" w:type="dxa"/>
        <w:tblLayout w:type="fixed"/>
        <w:tblCellMar>
          <w:top w:w="0" w:type="dxa"/>
          <w:left w:w="0" w:type="dxa"/>
          <w:bottom w:w="0" w:type="dxa"/>
          <w:right w:w="0" w:type="dxa"/>
        </w:tblCellMar>
      </w:tblPr>
      <w:tblGrid>
        <w:gridCol w:w="230"/>
        <w:gridCol w:w="5675"/>
      </w:tblGrid>
      <w:tr>
        <w:trPr/>
        <w:tc>
          <w:tcPr>
            <w:tcW w:w="230" w:type="dxa"/>
            <w:tcBorders/>
            <w:vAlign w:val="center"/>
          </w:tcPr>
          <w:p>
            <w:pPr>
              <w:pStyle w:val="TableContents"/>
              <w:bidi w:val="0"/>
              <w:spacing w:before="0" w:after="283"/>
              <w:jc w:val="left"/>
              <w:rPr>
                <w:rFonts w:ascii="Arial;Helvetica;sans-serif" w:hAnsi="Arial;Helvetica;sans-serif"/>
                <w:sz w:val="22"/>
              </w:rPr>
            </w:pPr>
            <w:r>
              <w:rPr>
                <w:rFonts w:ascii="Arial;Helvetica;sans-serif" w:hAnsi="Arial;Helvetica;sans-serif"/>
                <w:sz w:val="22"/>
              </w:rPr>
              <w:t>B.</w:t>
            </w:r>
          </w:p>
        </w:tc>
        <w:tc>
          <w:tcPr>
            <w:tcW w:w="5675" w:type="dxa"/>
            <w:tcBorders/>
            <w:vAlign w:val="center"/>
          </w:tcPr>
          <w:p>
            <w:pPr>
              <w:pStyle w:val="TableContents"/>
              <w:bidi w:val="0"/>
              <w:spacing w:before="0" w:after="283"/>
              <w:jc w:val="left"/>
              <w:rPr>
                <w:rFonts w:ascii="Arial;Helvetica;sans-serif" w:hAnsi="Arial;Helvetica;sans-serif"/>
                <w:b w:val="false"/>
                <w:i w:val="false"/>
                <w:caps w:val="false"/>
                <w:smallCaps w:val="false"/>
                <w:spacing w:val="6"/>
                <w:sz w:val="22"/>
              </w:rPr>
            </w:pPr>
            <w:r>
              <w:rPr>
                <w:rFonts w:ascii="Arial;Helvetica;sans-serif" w:hAnsi="Arial;Helvetica;sans-serif"/>
                <w:b w:val="false"/>
                <w:i w:val="false"/>
                <w:caps w:val="false"/>
                <w:smallCaps w:val="false"/>
                <w:spacing w:val="6"/>
                <w:sz w:val="22"/>
              </w:rPr>
              <w:t>RIT is the exclusive sales and marketing agent for RBT;</w:t>
            </w:r>
          </w:p>
        </w:tc>
      </w:tr>
    </w:tbl>
    <w:p>
      <w:pPr>
        <w:pStyle w:val="TextBody"/>
        <w:pBdr/>
        <w:bidi w:val="0"/>
        <w:spacing w:before="0" w:after="0"/>
        <w:ind w:left="0" w:right="0" w:hanging="720"/>
        <w:jc w:val="left"/>
        <w:rPr>
          <w:spacing w:val="6"/>
        </w:rPr>
      </w:pPr>
      <w:r>
        <w:rPr>
          <w:spacing w:val="6"/>
        </w:rPr>
        <w:t>​</w:t>
      </w:r>
    </w:p>
    <w:tbl>
      <w:tblPr>
        <w:tblW w:w="10205" w:type="dxa"/>
        <w:jc w:val="left"/>
        <w:tblInd w:w="0" w:type="dxa"/>
        <w:tblLayout w:type="fixed"/>
        <w:tblCellMar>
          <w:top w:w="0" w:type="dxa"/>
          <w:left w:w="0" w:type="dxa"/>
          <w:bottom w:w="0" w:type="dxa"/>
          <w:right w:w="0" w:type="dxa"/>
        </w:tblCellMar>
      </w:tblPr>
      <w:tblGrid>
        <w:gridCol w:w="245"/>
        <w:gridCol w:w="9960"/>
      </w:tblGrid>
      <w:tr>
        <w:trPr/>
        <w:tc>
          <w:tcPr>
            <w:tcW w:w="245" w:type="dxa"/>
            <w:tcBorders/>
            <w:vAlign w:val="center"/>
          </w:tcPr>
          <w:p>
            <w:pPr>
              <w:pStyle w:val="TableContents"/>
              <w:bidi w:val="0"/>
              <w:spacing w:before="0" w:after="283"/>
              <w:jc w:val="left"/>
              <w:rPr>
                <w:rFonts w:ascii="Arial;Helvetica;sans-serif" w:hAnsi="Arial;Helvetica;sans-serif"/>
                <w:sz w:val="22"/>
              </w:rPr>
            </w:pPr>
            <w:r>
              <w:rPr>
                <w:rFonts w:ascii="Arial;Helvetica;sans-serif" w:hAnsi="Arial;Helvetica;sans-serif"/>
                <w:sz w:val="22"/>
              </w:rPr>
              <w:t>C.</w:t>
            </w:r>
          </w:p>
        </w:tc>
        <w:tc>
          <w:tcPr>
            <w:tcW w:w="9960" w:type="dxa"/>
            <w:tcBorders/>
            <w:vAlign w:val="center"/>
          </w:tcPr>
          <w:p>
            <w:pPr>
              <w:pStyle w:val="TableContents"/>
              <w:bidi w:val="0"/>
              <w:spacing w:before="0" w:after="283"/>
              <w:jc w:val="left"/>
              <w:rPr>
                <w:rFonts w:ascii="Arial;Helvetica;sans-serif" w:hAnsi="Arial;Helvetica;sans-serif"/>
                <w:b w:val="false"/>
                <w:i w:val="false"/>
                <w:caps w:val="false"/>
                <w:smallCaps w:val="false"/>
                <w:spacing w:val="1"/>
                <w:sz w:val="22"/>
              </w:rPr>
            </w:pPr>
            <w:r>
              <w:rPr>
                <w:rFonts w:ascii="Arial;Helvetica;sans-serif" w:hAnsi="Arial;Helvetica;sans-serif"/>
                <w:b w:val="false"/>
                <w:i w:val="false"/>
                <w:caps w:val="false"/>
                <w:smallCaps w:val="false"/>
                <w:spacing w:val="1"/>
                <w:sz w:val="22"/>
              </w:rPr>
              <w:t>The parties are desirous of entering into a new Richards Bay Chloride Slag Sales Agreement (i) where the manufacture and purchase of a [***] of product is established for the mutual benefit of enhancing predictability of the operations of each of the parties and (ii) that remains in effect through the peaks and troughs of the TiO2 and feedstock market cycles, and establishes a pricing mechanism that [***] of Buyer's chloride slag requirements; and</w:t>
            </w:r>
          </w:p>
        </w:tc>
      </w:tr>
    </w:tbl>
    <w:p>
      <w:pPr>
        <w:pStyle w:val="TextBody"/>
        <w:pBdr/>
        <w:bidi w:val="0"/>
        <w:spacing w:before="0" w:after="0"/>
        <w:ind w:left="0" w:right="0" w:hanging="720"/>
        <w:jc w:val="left"/>
        <w:rPr>
          <w:spacing w:val="1"/>
        </w:rPr>
      </w:pPr>
      <w:r>
        <w:rPr>
          <w:spacing w:val="1"/>
        </w:rPr>
        <w:t>​</w:t>
      </w:r>
    </w:p>
    <w:tbl>
      <w:tblPr>
        <w:tblW w:w="10205" w:type="dxa"/>
        <w:jc w:val="left"/>
        <w:tblInd w:w="0" w:type="dxa"/>
        <w:tblLayout w:type="fixed"/>
        <w:tblCellMar>
          <w:top w:w="0" w:type="dxa"/>
          <w:left w:w="0" w:type="dxa"/>
          <w:bottom w:w="0" w:type="dxa"/>
          <w:right w:w="0" w:type="dxa"/>
        </w:tblCellMar>
      </w:tblPr>
      <w:tblGrid>
        <w:gridCol w:w="245"/>
        <w:gridCol w:w="9960"/>
      </w:tblGrid>
      <w:tr>
        <w:trPr/>
        <w:tc>
          <w:tcPr>
            <w:tcW w:w="245" w:type="dxa"/>
            <w:tcBorders/>
            <w:vAlign w:val="center"/>
          </w:tcPr>
          <w:p>
            <w:pPr>
              <w:pStyle w:val="TableContents"/>
              <w:bidi w:val="0"/>
              <w:spacing w:before="0" w:after="283"/>
              <w:jc w:val="left"/>
              <w:rPr>
                <w:rFonts w:ascii="Arial;Helvetica;sans-serif" w:hAnsi="Arial;Helvetica;sans-serif"/>
                <w:sz w:val="22"/>
              </w:rPr>
            </w:pPr>
            <w:r>
              <w:rPr>
                <w:rFonts w:ascii="Arial;Helvetica;sans-serif" w:hAnsi="Arial;Helvetica;sans-serif"/>
                <w:sz w:val="22"/>
              </w:rPr>
              <w:t>D.</w:t>
            </w:r>
          </w:p>
        </w:tc>
        <w:tc>
          <w:tcPr>
            <w:tcW w:w="9960" w:type="dxa"/>
            <w:tcBorders/>
            <w:vAlign w:val="center"/>
          </w:tcPr>
          <w:p>
            <w:pPr>
              <w:pStyle w:val="TableContents"/>
              <w:bidi w:val="0"/>
              <w:spacing w:before="0" w:after="283"/>
              <w:jc w:val="left"/>
              <w:rPr>
                <w:rFonts w:ascii="Arial;Helvetica;sans-serif" w:hAnsi="Arial;Helvetica;sans-serif"/>
                <w:b w:val="false"/>
                <w:i w:val="false"/>
                <w:caps w:val="false"/>
                <w:smallCaps w:val="false"/>
                <w:sz w:val="22"/>
              </w:rPr>
            </w:pPr>
            <w:r>
              <w:rPr>
                <w:rFonts w:ascii="Arial;Helvetica;sans-serif" w:hAnsi="Arial;Helvetica;sans-serif"/>
                <w:b w:val="false"/>
                <w:i w:val="false"/>
                <w:caps w:val="false"/>
                <w:smallCaps w:val="false"/>
                <w:sz w:val="22"/>
              </w:rPr>
              <w:t>The parties entered into a Richards Bay Slag Sales Agreement dated November 17, 2011 (the "Previous Agreement") and that such agreement and all subsequent amendments are hereby terminated and superseded by this Agreement effective January 1, 2016.</w:t>
            </w:r>
          </w:p>
        </w:tc>
      </w:tr>
    </w:tbl>
    <w:p>
      <w:pPr>
        <w:pStyle w:val="TextBody"/>
        <w:bidi w:val="0"/>
        <w:spacing w:before="0" w:after="0"/>
        <w:ind w:left="720" w:right="0" w:hanging="0"/>
        <w:jc w:val="left"/>
        <w:rPr/>
      </w:pPr>
      <w:r>
        <w:rPr/>
        <w:t>​</w:t>
      </w:r>
    </w:p>
    <w:p>
      <w:pPr>
        <w:pStyle w:val="TextBody"/>
        <w:bidi w:val="0"/>
        <w:spacing w:before="0" w:after="0"/>
        <w:ind w:left="0" w:right="0" w:hanging="0"/>
        <w:jc w:val="both"/>
        <w:rPr>
          <w:rFonts w:ascii="Times New Roman;Times;serif" w:hAnsi="Times New Roman;Times;serif"/>
          <w:sz w:val="20"/>
        </w:rPr>
      </w:pPr>
      <w:r>
        <w:rPr>
          <w:rFonts w:ascii="Arial;Helvetica;sans-serif" w:hAnsi="Arial;Helvetica;sans-serif"/>
          <w:b/>
          <w:sz w:val="22"/>
        </w:rPr>
        <w:t xml:space="preserve">NOW, THEREFORE, </w:t>
      </w:r>
      <w:r>
        <w:rPr>
          <w:rFonts w:ascii="Arial;Helvetica;sans-serif" w:hAnsi="Arial;Helvetica;sans-serif"/>
          <w:sz w:val="22"/>
        </w:rPr>
        <w:t>for and in consideration of the covenants and conditions herein contained, the parties hereto agree as follows:</w:t>
      </w:r>
    </w:p>
    <w:p>
      <w:pPr>
        <w:pStyle w:val="TextBody"/>
        <w:bidi w:val="0"/>
        <w:spacing w:before="0" w:after="0"/>
        <w:ind w:left="0" w:right="72" w:hanging="0"/>
        <w:jc w:val="left"/>
        <w:rPr>
          <w:color w:val="191919"/>
          <w:spacing w:val="3"/>
        </w:rPr>
      </w:pPr>
      <w:r>
        <w:rPr>
          <w:color w:val="191919"/>
          <w:spacing w:val="3"/>
        </w:rPr>
        <w:t>​</w:t>
      </w:r>
    </w:p>
    <w:p>
      <w:pPr>
        <w:pStyle w:val="TextBody"/>
        <w:bidi w:val="0"/>
        <w:spacing w:before="0" w:after="0"/>
        <w:ind w:left="0" w:right="72" w:hanging="0"/>
        <w:jc w:val="left"/>
        <w:rPr>
          <w:rFonts w:ascii="Arial;Helvetica;sans-serif" w:hAnsi="Arial;Helvetica;sans-serif"/>
          <w:b/>
          <w:color w:val="191919"/>
          <w:spacing w:val="3"/>
          <w:sz w:val="22"/>
        </w:rPr>
      </w:pPr>
      <w:r>
        <w:rPr>
          <w:rFonts w:ascii="Arial;Helvetica;sans-serif" w:hAnsi="Arial;Helvetica;sans-serif"/>
          <w:b/>
          <w:color w:val="191919"/>
          <w:spacing w:val="3"/>
          <w:sz w:val="22"/>
        </w:rPr>
        <w:t>ARTICLE I. SCOPE</w:t>
      </w:r>
    </w:p>
    <w:p>
      <w:pPr>
        <w:pStyle w:val="TextBody"/>
        <w:bidi w:val="0"/>
        <w:spacing w:before="0" w:after="0"/>
        <w:ind w:left="0" w:right="72" w:hanging="0"/>
        <w:jc w:val="left"/>
        <w:rPr>
          <w:color w:val="191919"/>
          <w:spacing w:val="3"/>
        </w:rPr>
      </w:pPr>
      <w:r>
        <w:rPr>
          <w:color w:val="191919"/>
          <w:spacing w:val="3"/>
        </w:rPr>
        <w:t>​</w:t>
      </w:r>
    </w:p>
    <w:p>
      <w:pPr>
        <w:pStyle w:val="TextBody"/>
        <w:bidi w:val="0"/>
        <w:spacing w:before="0" w:after="0"/>
        <w:ind w:left="0" w:right="72" w:hanging="0"/>
        <w:jc w:val="both"/>
        <w:rPr>
          <w:rFonts w:ascii="Arial;Helvetica;sans-serif" w:hAnsi="Arial;Helvetica;sans-serif"/>
          <w:color w:val="191919"/>
          <w:sz w:val="22"/>
        </w:rPr>
      </w:pPr>
      <w:r>
        <w:rPr>
          <w:rFonts w:ascii="Arial;Helvetica;sans-serif" w:hAnsi="Arial;Helvetica;sans-serif"/>
          <w:color w:val="191919"/>
          <w:sz w:val="22"/>
        </w:rPr>
        <w:t>RBT agrees to sell and deliver, and Buyer agrees to buy and take delivery of chloride grade titanium bearing slag, produced by RBT at Richards Bay, South Africa (hereinafter called "Product"), in the quantities and at the times hereinafter specified.</w:t>
      </w:r>
    </w:p>
    <w:p>
      <w:pPr>
        <w:pStyle w:val="TextBody"/>
        <w:bidi w:val="0"/>
        <w:spacing w:before="0" w:after="0"/>
        <w:ind w:left="0" w:right="0" w:hanging="0"/>
        <w:jc w:val="center"/>
        <w:rPr>
          <w:rFonts w:ascii="Arial;Helvetica;sans-serif" w:hAnsi="Arial;Helvetica;sans-serif"/>
          <w:caps/>
          <w:sz w:val="20"/>
        </w:rPr>
      </w:pPr>
      <w:r>
        <w:rPr>
          <w:rFonts w:ascii="Arial;Helvetica;sans-serif" w:hAnsi="Arial;Helvetica;sans-serif"/>
          <w:caps/>
          <w:sz w:val="20"/>
        </w:rPr>
        <w:t>1</w:t>
      </w:r>
    </w:p>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0"/>
        <w:ind w:left="0" w:right="72" w:hanging="0"/>
        <w:jc w:val="left"/>
        <w:rPr>
          <w:color w:val="191919"/>
          <w:spacing w:val="3"/>
        </w:rPr>
      </w:pPr>
      <w:r>
        <w:rPr>
          <w:color w:val="191919"/>
          <w:spacing w:val="3"/>
        </w:rPr>
        <w:t>​</w:t>
      </w:r>
    </w:p>
    <w:p>
      <w:pPr>
        <w:pStyle w:val="TextBody"/>
        <w:bidi w:val="0"/>
        <w:spacing w:before="0" w:after="0"/>
        <w:ind w:left="0" w:right="72" w:hanging="0"/>
        <w:jc w:val="left"/>
        <w:rPr>
          <w:rFonts w:ascii="Arial;Helvetica;sans-serif" w:hAnsi="Arial;Helvetica;sans-serif"/>
          <w:b/>
          <w:color w:val="191919"/>
          <w:spacing w:val="3"/>
          <w:sz w:val="22"/>
        </w:rPr>
      </w:pPr>
      <w:r>
        <w:rPr>
          <w:rFonts w:ascii="Arial;Helvetica;sans-serif" w:hAnsi="Arial;Helvetica;sans-serif"/>
          <w:b/>
          <w:color w:val="191919"/>
          <w:spacing w:val="3"/>
          <w:sz w:val="22"/>
        </w:rPr>
        <w:t>ARTICLE II. DEFINITIONS</w:t>
      </w:r>
    </w:p>
    <w:p>
      <w:pPr>
        <w:pStyle w:val="TextBody"/>
        <w:bidi w:val="0"/>
        <w:spacing w:before="0" w:after="0"/>
        <w:ind w:left="0" w:right="72" w:hanging="0"/>
        <w:jc w:val="both"/>
        <w:rPr>
          <w:rFonts w:ascii="Arial;Helvetica;sans-serif" w:hAnsi="Arial;Helvetica;sans-serif"/>
          <w:color w:val="191919"/>
          <w:sz w:val="22"/>
        </w:rPr>
      </w:pPr>
      <w:r>
        <w:rPr>
          <w:rFonts w:ascii="Arial;Helvetica;sans-serif" w:hAnsi="Arial;Helvetica;sans-serif"/>
          <w:color w:val="191919"/>
          <w:sz w:val="22"/>
        </w:rPr>
        <w:t>Unless otherwise indicated, a "ton" is a metric ton of one thousand kilograms dry weight, a "month," a "quarter" and a "year" are a calendar month, a calendar quarter and a calendar year, respectively, "dollars," "cents" and the dollar and cent signs ("$" and "0") refer to lawful money of the United States of America, "Official Samples" has the meaning given to it in Article XI, all percentages are based on dry weights.</w:t>
      </w:r>
    </w:p>
    <w:p>
      <w:pPr>
        <w:pStyle w:val="TextBody"/>
        <w:bidi w:val="0"/>
        <w:spacing w:before="0" w:after="0"/>
        <w:ind w:left="0" w:right="72" w:hanging="0"/>
        <w:jc w:val="both"/>
        <w:rPr>
          <w:color w:val="191919"/>
        </w:rPr>
      </w:pPr>
      <w:r>
        <w:rPr>
          <w:color w:val="191919"/>
        </w:rPr>
        <w:t>​</w:t>
      </w:r>
    </w:p>
    <w:p>
      <w:pPr>
        <w:pStyle w:val="TextBody"/>
        <w:bidi w:val="0"/>
        <w:spacing w:before="0" w:after="0"/>
        <w:ind w:left="0" w:right="72" w:hanging="0"/>
        <w:jc w:val="both"/>
        <w:rPr>
          <w:rFonts w:ascii="Arial;Helvetica;sans-serif" w:hAnsi="Arial;Helvetica;sans-serif"/>
          <w:b/>
          <w:color w:val="191919"/>
          <w:spacing w:val="4"/>
          <w:sz w:val="22"/>
        </w:rPr>
      </w:pPr>
      <w:r>
        <w:rPr>
          <w:rFonts w:ascii="Arial;Helvetica;sans-serif" w:hAnsi="Arial;Helvetica;sans-serif"/>
          <w:b/>
          <w:color w:val="191919"/>
          <w:spacing w:val="4"/>
          <w:sz w:val="22"/>
        </w:rPr>
        <w:t>ARTICLE III.  TERM</w:t>
      </w:r>
    </w:p>
    <w:p>
      <w:pPr>
        <w:pStyle w:val="TextBody"/>
        <w:bidi w:val="0"/>
        <w:spacing w:before="0" w:after="0"/>
        <w:ind w:left="0" w:right="72" w:hanging="0"/>
        <w:jc w:val="both"/>
        <w:rPr>
          <w:color w:val="191919"/>
          <w:spacing w:val="4"/>
        </w:rPr>
      </w:pPr>
      <w:r>
        <w:rPr>
          <w:color w:val="191919"/>
          <w:spacing w:val="4"/>
        </w:rPr>
        <w:t>​</w:t>
      </w:r>
    </w:p>
    <w:tbl>
      <w:tblPr>
        <w:tblW w:w="10205" w:type="dxa"/>
        <w:jc w:val="left"/>
        <w:tblInd w:w="0" w:type="dxa"/>
        <w:tblLayout w:type="fixed"/>
        <w:tblCellMar>
          <w:top w:w="0" w:type="dxa"/>
          <w:left w:w="0" w:type="dxa"/>
          <w:bottom w:w="0" w:type="dxa"/>
          <w:right w:w="0" w:type="dxa"/>
        </w:tblCellMar>
      </w:tblPr>
      <w:tblGrid>
        <w:gridCol w:w="23"/>
        <w:gridCol w:w="230"/>
        <w:gridCol w:w="9952"/>
      </w:tblGrid>
      <w:tr>
        <w:trPr/>
        <w:tc>
          <w:tcPr>
            <w:tcW w:w="23"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rFonts w:ascii="Arial;Helvetica;sans-serif" w:hAnsi="Arial;Helvetica;sans-serif"/>
                <w:color w:val="191919"/>
                <w:sz w:val="22"/>
              </w:rPr>
            </w:pPr>
            <w:r>
              <w:rPr>
                <w:rFonts w:ascii="Arial;Helvetica;sans-serif" w:hAnsi="Arial;Helvetica;sans-serif"/>
                <w:color w:val="191919"/>
                <w:sz w:val="22"/>
              </w:rPr>
              <w:t>A.</w:t>
            </w:r>
          </w:p>
        </w:tc>
        <w:tc>
          <w:tcPr>
            <w:tcW w:w="9952" w:type="dxa"/>
            <w:tcBorders/>
            <w:vAlign w:val="center"/>
          </w:tcPr>
          <w:p>
            <w:pPr>
              <w:pStyle w:val="TableContents"/>
              <w:bidi w:val="0"/>
              <w:spacing w:before="0" w:after="283"/>
              <w:jc w:val="left"/>
              <w:rPr>
                <w:rFonts w:ascii="Arial;Helvetica;sans-serif" w:hAnsi="Arial;Helvetica;sans-serif"/>
                <w:b w:val="false"/>
                <w:i w:val="false"/>
                <w:caps w:val="false"/>
                <w:smallCaps w:val="false"/>
                <w:color w:val="191919"/>
                <w:sz w:val="22"/>
              </w:rPr>
            </w:pPr>
            <w:r>
              <w:rPr>
                <w:rFonts w:ascii="Arial;Helvetica;sans-serif" w:hAnsi="Arial;Helvetica;sans-serif"/>
                <w:b w:val="false"/>
                <w:i w:val="false"/>
                <w:caps w:val="false"/>
                <w:smallCaps w:val="false"/>
                <w:color w:val="191919"/>
                <w:sz w:val="22"/>
              </w:rPr>
              <w:t xml:space="preserve">This Agreement shall be for a term ending on December 31, 2028 (the “Initial Term”). Thereafter the Agreement shall automatically be extended for two-year periods (each a “Renewal Term”), unless and until terminated in writing by either Party as of the expiration of the Initial Term or any subsequent Renewal Term by either Party providing written notice of such termination not less than twelve (12) months prior to the expiration of the Initial Term or any subsequent Renewal Term. </w:t>
            </w:r>
          </w:p>
        </w:tc>
      </w:tr>
    </w:tbl>
    <w:p>
      <w:pPr>
        <w:pStyle w:val="TextBody"/>
        <w:pBdr/>
        <w:bidi w:val="0"/>
        <w:spacing w:before="0" w:after="0"/>
        <w:ind w:left="0" w:right="72" w:hanging="720"/>
        <w:jc w:val="both"/>
        <w:rPr>
          <w:color w:val="191919"/>
        </w:rPr>
      </w:pPr>
      <w:r>
        <w:rPr>
          <w:color w:val="191919"/>
        </w:rPr>
        <w:t>​</w:t>
      </w:r>
    </w:p>
    <w:tbl>
      <w:tblPr>
        <w:tblW w:w="2343" w:type="dxa"/>
        <w:jc w:val="left"/>
        <w:tblInd w:w="0" w:type="dxa"/>
        <w:tblLayout w:type="fixed"/>
        <w:tblCellMar>
          <w:top w:w="0" w:type="dxa"/>
          <w:left w:w="0" w:type="dxa"/>
          <w:bottom w:w="0" w:type="dxa"/>
          <w:right w:w="0" w:type="dxa"/>
        </w:tblCellMar>
      </w:tblPr>
      <w:tblGrid>
        <w:gridCol w:w="230"/>
        <w:gridCol w:w="2090"/>
        <w:gridCol w:w="23"/>
      </w:tblGrid>
      <w:tr>
        <w:trPr/>
        <w:tc>
          <w:tcPr>
            <w:tcW w:w="230" w:type="dxa"/>
            <w:tcBorders/>
            <w:vAlign w:val="center"/>
          </w:tcPr>
          <w:p>
            <w:pPr>
              <w:pStyle w:val="TableContents"/>
              <w:bidi w:val="0"/>
              <w:spacing w:before="0" w:after="283"/>
              <w:jc w:val="left"/>
              <w:rPr>
                <w:rFonts w:ascii="Arial;Helvetica;sans-serif" w:hAnsi="Arial;Helvetica;sans-serif"/>
                <w:color w:val="191919"/>
                <w:sz w:val="22"/>
              </w:rPr>
            </w:pPr>
            <w:r>
              <w:rPr>
                <w:rFonts w:ascii="Arial;Helvetica;sans-serif" w:hAnsi="Arial;Helvetica;sans-serif"/>
                <w:color w:val="191919"/>
                <w:sz w:val="22"/>
              </w:rPr>
              <w:t>B.</w:t>
            </w:r>
          </w:p>
        </w:tc>
        <w:tc>
          <w:tcPr>
            <w:tcW w:w="2090" w:type="dxa"/>
            <w:tcBorders/>
            <w:vAlign w:val="center"/>
          </w:tcPr>
          <w:p>
            <w:pPr>
              <w:pStyle w:val="TableContents"/>
              <w:bidi w:val="0"/>
              <w:spacing w:before="0" w:after="283"/>
              <w:jc w:val="left"/>
              <w:rPr>
                <w:rFonts w:ascii="Arial;Helvetica;sans-serif" w:hAnsi="Arial;Helvetica;sans-serif"/>
                <w:b w:val="false"/>
                <w:i w:val="false"/>
                <w:caps w:val="false"/>
                <w:smallCaps w:val="false"/>
                <w:color w:val="191919"/>
                <w:sz w:val="22"/>
              </w:rPr>
            </w:pPr>
            <w:r>
              <w:rPr>
                <w:rFonts w:ascii="Arial;Helvetica;sans-serif" w:hAnsi="Arial;Helvetica;sans-serif"/>
                <w:b w:val="false"/>
                <w:i w:val="false"/>
                <w:caps w:val="false"/>
                <w:smallCaps w:val="false"/>
                <w:color w:val="191919"/>
                <w:sz w:val="22"/>
              </w:rPr>
              <w:t>Notice of Termination</w:t>
            </w:r>
          </w:p>
        </w:tc>
        <w:tc>
          <w:tcPr>
            <w:tcW w:w="23"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72" w:hanging="0"/>
        <w:jc w:val="both"/>
        <w:rPr>
          <w:color w:val="191919"/>
        </w:rPr>
      </w:pPr>
      <w:r>
        <w:rPr>
          <w:color w:val="191919"/>
        </w:rPr>
        <w:t>​</w:t>
      </w:r>
    </w:p>
    <w:tbl>
      <w:tblPr>
        <w:tblW w:w="10205" w:type="dxa"/>
        <w:jc w:val="left"/>
        <w:tblInd w:w="0" w:type="dxa"/>
        <w:tblLayout w:type="fixed"/>
        <w:tblCellMar>
          <w:top w:w="0" w:type="dxa"/>
          <w:left w:w="0" w:type="dxa"/>
          <w:bottom w:w="0" w:type="dxa"/>
          <w:right w:w="0" w:type="dxa"/>
        </w:tblCellMar>
      </w:tblPr>
      <w:tblGrid>
        <w:gridCol w:w="23"/>
        <w:gridCol w:w="150"/>
        <w:gridCol w:w="10032"/>
      </w:tblGrid>
      <w:tr>
        <w:trPr/>
        <w:tc>
          <w:tcPr>
            <w:tcW w:w="23"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rFonts w:ascii="Arial;Helvetica;sans-serif" w:hAnsi="Arial;Helvetica;sans-serif"/>
                <w:color w:val="191919"/>
                <w:sz w:val="22"/>
              </w:rPr>
            </w:pPr>
            <w:r>
              <w:rPr>
                <w:rFonts w:ascii="Arial;Helvetica;sans-serif" w:hAnsi="Arial;Helvetica;sans-serif"/>
                <w:color w:val="191919"/>
                <w:sz w:val="22"/>
              </w:rPr>
              <w:t>1.</w:t>
            </w:r>
          </w:p>
        </w:tc>
        <w:tc>
          <w:tcPr>
            <w:tcW w:w="10032" w:type="dxa"/>
            <w:tcBorders/>
            <w:vAlign w:val="center"/>
          </w:tcPr>
          <w:p>
            <w:pPr>
              <w:pStyle w:val="TableContents"/>
              <w:bidi w:val="0"/>
              <w:spacing w:before="0" w:after="283"/>
              <w:jc w:val="left"/>
              <w:rPr>
                <w:rFonts w:ascii="Arial;Helvetica;sans-serif" w:hAnsi="Arial;Helvetica;sans-serif"/>
                <w:b w:val="false"/>
                <w:i w:val="false"/>
                <w:caps w:val="false"/>
                <w:smallCaps w:val="false"/>
                <w:color w:val="191919"/>
                <w:sz w:val="22"/>
              </w:rPr>
            </w:pPr>
            <w:r>
              <w:rPr>
                <w:rFonts w:ascii="Arial;Helvetica;sans-serif" w:hAnsi="Arial;Helvetica;sans-serif"/>
                <w:b w:val="false"/>
                <w:i w:val="false"/>
                <w:caps w:val="false"/>
                <w:smallCaps w:val="false"/>
                <w:color w:val="191919"/>
                <w:sz w:val="22"/>
              </w:rPr>
              <w:t xml:space="preserve">In the event that either Party shall become bankrupt, insolvent, commit any act of bankruptcy or insolvency, or compromise with its creditors, then the other Party shall have the option, without notice or demand, to terminate this Agreement or, at its option, to require specific performance and demand damages hereunder to the extent such performance does not occur. The preceding rights are without prejudice to any other rights and remedies as are available to the Parties hereunder or otherwise under the law. </w:t>
            </w:r>
          </w:p>
        </w:tc>
      </w:tr>
    </w:tbl>
    <w:p>
      <w:pPr>
        <w:pStyle w:val="TextBody"/>
        <w:bidi w:val="0"/>
        <w:spacing w:before="0" w:after="0"/>
        <w:ind w:left="720" w:right="72" w:hanging="0"/>
        <w:jc w:val="both"/>
        <w:rPr>
          <w:color w:val="191919"/>
        </w:rPr>
      </w:pPr>
      <w:r>
        <w:rPr>
          <w:color w:val="191919"/>
        </w:rPr>
        <w:t>​</w:t>
      </w:r>
    </w:p>
    <w:tbl>
      <w:tblPr>
        <w:tblW w:w="10205" w:type="dxa"/>
        <w:jc w:val="left"/>
        <w:tblInd w:w="0" w:type="dxa"/>
        <w:tblLayout w:type="fixed"/>
        <w:tblCellMar>
          <w:top w:w="0" w:type="dxa"/>
          <w:left w:w="0" w:type="dxa"/>
          <w:bottom w:w="0" w:type="dxa"/>
          <w:right w:w="0" w:type="dxa"/>
        </w:tblCellMar>
      </w:tblPr>
      <w:tblGrid>
        <w:gridCol w:w="23"/>
        <w:gridCol w:w="157"/>
        <w:gridCol w:w="10001"/>
        <w:gridCol w:w="24"/>
      </w:tblGrid>
      <w:tr>
        <w:trPr/>
        <w:tc>
          <w:tcPr>
            <w:tcW w:w="23"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rFonts w:ascii="Arial;Helvetica;sans-serif" w:hAnsi="Arial;Helvetica;sans-serif"/>
                <w:color w:val="191919"/>
                <w:sz w:val="22"/>
              </w:rPr>
            </w:pPr>
            <w:r>
              <w:rPr>
                <w:rFonts w:ascii="Arial;Helvetica;sans-serif" w:hAnsi="Arial;Helvetica;sans-serif"/>
                <w:color w:val="191919"/>
                <w:sz w:val="22"/>
              </w:rPr>
              <w:t>2.</w:t>
            </w:r>
          </w:p>
        </w:tc>
        <w:tc>
          <w:tcPr>
            <w:tcW w:w="10001" w:type="dxa"/>
            <w:tcBorders/>
            <w:vAlign w:val="center"/>
          </w:tcPr>
          <w:p>
            <w:pPr>
              <w:pStyle w:val="TableContents"/>
              <w:bidi w:val="0"/>
              <w:spacing w:before="0" w:after="283"/>
              <w:jc w:val="left"/>
              <w:rPr>
                <w:rFonts w:ascii="Arial;Helvetica;sans-serif" w:hAnsi="Arial;Helvetica;sans-serif"/>
                <w:b w:val="false"/>
                <w:i w:val="false"/>
                <w:caps w:val="false"/>
                <w:smallCaps w:val="false"/>
                <w:color w:val="191919"/>
                <w:sz w:val="22"/>
              </w:rPr>
            </w:pPr>
            <w:r>
              <w:rPr>
                <w:rFonts w:ascii="Arial;Helvetica;sans-serif" w:hAnsi="Arial;Helvetica;sans-serif"/>
                <w:b w:val="false"/>
                <w:i w:val="false"/>
                <w:caps w:val="false"/>
                <w:smallCaps w:val="false"/>
                <w:color w:val="191919"/>
                <w:sz w:val="22"/>
              </w:rPr>
              <w:t>2.In the event of termination of this Agreement in accordance with the terms herein, Articles XII, XVIII and XXII shall survive termination, and each Party shall retain any accrued rights and remedies, including any rights and remedies it has or may have against the other Party in respect of any past breach of this Agreement.</w:t>
            </w:r>
          </w:p>
        </w:tc>
        <w:tc>
          <w:tcPr>
            <w:tcW w:w="24" w:type="dxa"/>
            <w:tcBorders/>
            <w:vAlign w:val="center"/>
          </w:tcPr>
          <w:p>
            <w:pPr>
              <w:pStyle w:val="TableContents"/>
              <w:bidi w:val="0"/>
              <w:spacing w:before="0" w:after="283"/>
              <w:jc w:val="left"/>
              <w:rPr>
                <w:sz w:val="4"/>
                <w:szCs w:val="4"/>
              </w:rPr>
            </w:pPr>
            <w:r>
              <w:rPr>
                <w:sz w:val="4"/>
                <w:szCs w:val="4"/>
              </w:rPr>
            </w:r>
          </w:p>
        </w:tc>
      </w:tr>
    </w:tbl>
    <w:p>
      <w:pPr>
        <w:pStyle w:val="TextBody"/>
        <w:pBdr/>
        <w:bidi w:val="0"/>
        <w:spacing w:before="0" w:after="0"/>
        <w:ind w:left="0" w:right="0" w:hanging="720"/>
        <w:jc w:val="left"/>
        <w:rPr>
          <w:color w:val="191919"/>
        </w:rPr>
      </w:pPr>
      <w:r>
        <w:rPr>
          <w:color w:val="191919"/>
        </w:rPr>
        <w:t>​</w:t>
      </w:r>
    </w:p>
    <w:p>
      <w:pPr>
        <w:pStyle w:val="TextBody"/>
        <w:bidi w:val="0"/>
        <w:spacing w:before="0" w:after="0"/>
        <w:ind w:left="720" w:right="0" w:hanging="0"/>
        <w:jc w:val="left"/>
        <w:rPr>
          <w:color w:val="191919"/>
        </w:rPr>
      </w:pPr>
      <w:r>
        <w:rPr>
          <w:color w:val="191919"/>
        </w:rPr>
        <w:t>​</w:t>
      </w:r>
    </w:p>
    <w:p>
      <w:pPr>
        <w:pStyle w:val="TextBody"/>
        <w:bidi w:val="0"/>
        <w:spacing w:before="0" w:after="0"/>
        <w:ind w:left="0" w:right="0" w:hanging="0"/>
        <w:jc w:val="left"/>
        <w:rPr>
          <w:rFonts w:ascii="Arial;Helvetica;sans-serif" w:hAnsi="Arial;Helvetica;sans-serif"/>
          <w:b/>
          <w:color w:val="161616"/>
          <w:spacing w:val="5"/>
          <w:sz w:val="22"/>
        </w:rPr>
      </w:pPr>
      <w:r>
        <w:rPr>
          <w:rFonts w:ascii="Arial;Helvetica;sans-serif" w:hAnsi="Arial;Helvetica;sans-serif"/>
          <w:b/>
          <w:color w:val="161616"/>
          <w:spacing w:val="5"/>
          <w:sz w:val="22"/>
        </w:rPr>
        <w:t xml:space="preserve">ARTICLE IV. QUANTITY </w:t>
      </w:r>
    </w:p>
    <w:p>
      <w:pPr>
        <w:pStyle w:val="TextBody"/>
        <w:bidi w:val="0"/>
        <w:spacing w:before="0" w:after="0"/>
        <w:ind w:left="0" w:right="0" w:hanging="0"/>
        <w:jc w:val="left"/>
        <w:rPr>
          <w:color w:val="161616"/>
          <w:spacing w:val="5"/>
        </w:rPr>
      </w:pPr>
      <w:r>
        <w:rPr>
          <w:color w:val="161616"/>
          <w:spacing w:val="5"/>
        </w:rPr>
        <w:t>​</w:t>
      </w:r>
    </w:p>
    <w:p>
      <w:pPr>
        <w:pStyle w:val="TextBody"/>
        <w:bidi w:val="0"/>
        <w:spacing w:before="0" w:after="0"/>
        <w:ind w:left="0" w:right="0" w:hanging="0"/>
        <w:jc w:val="left"/>
        <w:rPr>
          <w:rFonts w:ascii="Arial;Helvetica;sans-serif" w:hAnsi="Arial;Helvetica;sans-serif"/>
          <w:color w:val="161616"/>
          <w:sz w:val="22"/>
        </w:rPr>
      </w:pPr>
      <w:r>
        <w:rPr>
          <w:rFonts w:ascii="Arial;Helvetica;sans-serif" w:hAnsi="Arial;Helvetica;sans-serif"/>
          <w:color w:val="161616"/>
          <w:sz w:val="22"/>
        </w:rPr>
        <w:t xml:space="preserve">During the 2026 calendar year, Seller agrees to sell and deliver, and Buyer agrees to buy and take delivery of a minimum of [***] of Buyer’s purchase requirements for Product, in the quantities and at the times specified by Buyer in accordance with the terms of this Agreement. </w:t>
      </w:r>
    </w:p>
    <w:p>
      <w:pPr>
        <w:pStyle w:val="TextBody"/>
        <w:bidi w:val="0"/>
        <w:spacing w:before="0" w:after="0"/>
        <w:ind w:left="0" w:right="0" w:hanging="0"/>
        <w:jc w:val="left"/>
        <w:rPr>
          <w:color w:val="161616"/>
        </w:rPr>
      </w:pPr>
      <w:r>
        <w:rPr>
          <w:color w:val="161616"/>
        </w:rPr>
        <w:t>​</w:t>
      </w:r>
    </w:p>
    <w:p>
      <w:pPr>
        <w:pStyle w:val="TextBody"/>
        <w:bidi w:val="0"/>
        <w:spacing w:before="0" w:after="0"/>
        <w:ind w:left="0" w:right="0" w:hanging="0"/>
        <w:jc w:val="left"/>
        <w:rPr>
          <w:rFonts w:ascii="Times New Roman;Times;serif" w:hAnsi="Times New Roman;Times;serif"/>
          <w:sz w:val="20"/>
        </w:rPr>
      </w:pPr>
      <w:r>
        <w:rPr>
          <w:rFonts w:ascii="Arial;Helvetica;sans-serif" w:hAnsi="Arial;Helvetica;sans-serif"/>
          <w:color w:val="161616"/>
          <w:sz w:val="22"/>
        </w:rPr>
        <w:t xml:space="preserve">During the 2027 calendar year and subsequent calendar years, Seller agrees to sell and deliver, and Buyer agrees to buy and take delivery [***] for titanium feedstock used in its chloride processes, in the quantities and at the times specified by Buyer </w:t>
      </w:r>
      <w:r>
        <w:rPr>
          <w:rFonts w:ascii="Arial;Helvetica;sans-serif" w:hAnsi="Arial;Helvetica;sans-serif"/>
          <w:spacing w:val="1"/>
          <w:sz w:val="22"/>
        </w:rPr>
        <w:t>[***]</w:t>
      </w:r>
      <w:r>
        <w:rPr>
          <w:rFonts w:ascii="Arial;Helvetica;sans-serif" w:hAnsi="Arial;Helvetica;sans-serif"/>
          <w:color w:val="161616"/>
          <w:sz w:val="22"/>
        </w:rPr>
        <w:t xml:space="preserve">. Seller agrees to make an additional [***] Product available to Buyer and Buyer agrees to purchase said additional quantity of Product provided prices are mutually agreed by the parties. </w:t>
      </w:r>
      <w:r>
        <w:rPr>
          <w:rFonts w:ascii="Arial;Helvetica;sans-serif" w:hAnsi="Arial;Helvetica;sans-serif"/>
          <w:spacing w:val="1"/>
          <w:sz w:val="22"/>
        </w:rPr>
        <w:t>[***].</w:t>
      </w:r>
      <w:r>
        <w:rPr>
          <w:rFonts w:ascii="Times New Roman;Times;serif" w:hAnsi="Times New Roman;Times;serif"/>
          <w:color w:val="161616"/>
          <w:sz w:val="20"/>
        </w:rPr>
        <w:t xml:space="preserve"> </w:t>
      </w:r>
    </w:p>
    <w:p>
      <w:pPr>
        <w:pStyle w:val="TextBody"/>
        <w:bidi w:val="0"/>
        <w:spacing w:before="0" w:after="0"/>
        <w:ind w:left="0" w:right="0" w:hanging="0"/>
        <w:jc w:val="left"/>
        <w:rPr>
          <w:color w:val="161616"/>
        </w:rPr>
      </w:pPr>
      <w:r>
        <w:rPr>
          <w:color w:val="161616"/>
        </w:rPr>
        <w:t>​</w:t>
      </w:r>
    </w:p>
    <w:p>
      <w:pPr>
        <w:pStyle w:val="TextBody"/>
        <w:bidi w:val="0"/>
        <w:spacing w:before="0" w:after="0"/>
        <w:ind w:left="0" w:right="0" w:hanging="0"/>
        <w:jc w:val="left"/>
        <w:rPr>
          <w:rFonts w:ascii="Arial;Helvetica;sans-serif" w:hAnsi="Arial;Helvetica;sans-serif"/>
          <w:color w:val="161616"/>
          <w:sz w:val="22"/>
        </w:rPr>
      </w:pPr>
      <w:r>
        <w:rPr>
          <w:rFonts w:ascii="Arial;Helvetica;sans-serif" w:hAnsi="Arial;Helvetica;sans-serif"/>
          <w:color w:val="161616"/>
          <w:sz w:val="22"/>
        </w:rPr>
        <w:t xml:space="preserve">For the calendar year 2026 and subsequent calendar years, by November 1 of each calendar year, Buyer shall provide RBT with a written non-binding annual forecast of its Product needs for Product to be delivered in the following calendar year (the “Annual Forecasted Quantity”). </w:t>
      </w:r>
    </w:p>
    <w:p>
      <w:pPr>
        <w:pStyle w:val="TextBody"/>
        <w:bidi w:val="0"/>
        <w:spacing w:before="0" w:after="0"/>
        <w:ind w:left="0" w:right="0" w:hanging="0"/>
        <w:jc w:val="left"/>
        <w:rPr>
          <w:color w:val="161616"/>
        </w:rPr>
      </w:pPr>
      <w:r>
        <w:rPr>
          <w:color w:val="161616"/>
        </w:rPr>
        <w:t>​</w:t>
      </w:r>
    </w:p>
    <w:p>
      <w:pPr>
        <w:pStyle w:val="TextBody"/>
        <w:bidi w:val="0"/>
        <w:spacing w:before="0" w:after="0"/>
        <w:ind w:left="0" w:right="0" w:hanging="0"/>
        <w:jc w:val="left"/>
        <w:rPr>
          <w:rFonts w:ascii="Times New Roman;Times;serif" w:hAnsi="Times New Roman;Times;serif"/>
          <w:sz w:val="20"/>
        </w:rPr>
      </w:pPr>
      <w:r>
        <w:rPr>
          <w:rFonts w:ascii="Arial;Helvetica;sans-serif" w:hAnsi="Arial;Helvetica;sans-serif"/>
          <w:color w:val="161616"/>
          <w:sz w:val="22"/>
        </w:rPr>
        <w:t xml:space="preserve">During the term of this Agreement, by the 1st day of the month immediately prior to the upcoming calendar quarter, Buyer shall provide RBT with a written </w:t>
      </w:r>
      <w:r>
        <w:rPr>
          <w:rFonts w:ascii="Arial;Helvetica;sans-serif" w:hAnsi="Arial;Helvetica;sans-serif"/>
          <w:spacing w:val="1"/>
          <w:sz w:val="22"/>
        </w:rPr>
        <w:t xml:space="preserve">[***] </w:t>
      </w:r>
      <w:r>
        <w:rPr>
          <w:rFonts w:ascii="Arial;Helvetica;sans-serif" w:hAnsi="Arial;Helvetica;sans-serif"/>
          <w:color w:val="161616"/>
          <w:sz w:val="22"/>
        </w:rPr>
        <w:t xml:space="preserve">forecast of its minimum Product needs for Product to be delivered </w:t>
      </w:r>
      <w:r>
        <w:rPr>
          <w:rFonts w:ascii="Arial;Helvetica;sans-serif" w:hAnsi="Arial;Helvetica;sans-serif"/>
          <w:spacing w:val="1"/>
          <w:sz w:val="22"/>
        </w:rPr>
        <w:t>[***]</w:t>
      </w:r>
      <w:r>
        <w:rPr>
          <w:rFonts w:ascii="Arial;Helvetica;sans-serif" w:hAnsi="Arial;Helvetica;sans-serif"/>
          <w:color w:val="161616"/>
          <w:sz w:val="22"/>
        </w:rPr>
        <w:t xml:space="preserve">. </w:t>
      </w:r>
    </w:p>
    <w:p>
      <w:pPr>
        <w:pStyle w:val="TextBody"/>
        <w:bidi w:val="0"/>
        <w:spacing w:before="0" w:after="0"/>
        <w:ind w:left="0" w:right="0" w:hanging="0"/>
        <w:jc w:val="center"/>
        <w:rPr>
          <w:rFonts w:ascii="Arial;Helvetica;sans-serif" w:hAnsi="Arial;Helvetica;sans-serif"/>
          <w:caps/>
          <w:sz w:val="20"/>
        </w:rPr>
      </w:pPr>
      <w:r>
        <w:rPr>
          <w:rFonts w:ascii="Arial;Helvetica;sans-serif" w:hAnsi="Arial;Helvetica;sans-serif"/>
          <w:caps/>
          <w:sz w:val="20"/>
        </w:rPr>
        <w:t>2</w:t>
      </w:r>
    </w:p>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color w:val="161616"/>
        </w:rPr>
      </w:pPr>
      <w:r>
        <w:rPr>
          <w:color w:val="161616"/>
        </w:rPr>
        <w:t>​</w:t>
      </w:r>
    </w:p>
    <w:p>
      <w:pPr>
        <w:pStyle w:val="TextBody"/>
        <w:bidi w:val="0"/>
        <w:spacing w:before="0" w:after="0"/>
        <w:ind w:left="0" w:right="0" w:hanging="0"/>
        <w:jc w:val="left"/>
        <w:rPr>
          <w:rFonts w:ascii="Arial;Helvetica;sans-serif" w:hAnsi="Arial;Helvetica;sans-serif"/>
          <w:color w:val="161616"/>
          <w:sz w:val="22"/>
        </w:rPr>
      </w:pPr>
      <w:r>
        <w:rPr>
          <w:rFonts w:ascii="Arial;Helvetica;sans-serif" w:hAnsi="Arial;Helvetica;sans-serif"/>
          <w:color w:val="161616"/>
          <w:sz w:val="22"/>
        </w:rPr>
        <w:t xml:space="preserve">During the term of this Agreement, by the 1st day of the month immediately prior to the upcoming month, Buyer shall provide RBT with a written non-binding updated annual forecast of its Product needs for Product to be delivered during the current calendar year. </w:t>
      </w:r>
    </w:p>
    <w:p>
      <w:pPr>
        <w:pStyle w:val="TextBody"/>
        <w:bidi w:val="0"/>
        <w:spacing w:before="0" w:after="0"/>
        <w:ind w:left="0" w:right="0" w:hanging="0"/>
        <w:jc w:val="left"/>
        <w:rPr>
          <w:color w:val="161616"/>
        </w:rPr>
      </w:pPr>
      <w:r>
        <w:rPr>
          <w:color w:val="161616"/>
        </w:rPr>
        <w:t>​</w:t>
      </w:r>
    </w:p>
    <w:p>
      <w:pPr>
        <w:pStyle w:val="TextBody"/>
        <w:bidi w:val="0"/>
        <w:spacing w:before="0" w:after="0"/>
        <w:ind w:left="0" w:right="0" w:hanging="0"/>
        <w:jc w:val="left"/>
        <w:rPr>
          <w:rFonts w:ascii="Arial;Helvetica;sans-serif" w:hAnsi="Arial;Helvetica;sans-serif"/>
          <w:color w:val="161616"/>
          <w:sz w:val="22"/>
        </w:rPr>
      </w:pPr>
      <w:r>
        <w:rPr>
          <w:rFonts w:ascii="Arial;Helvetica;sans-serif" w:hAnsi="Arial;Helvetica;sans-serif"/>
          <w:color w:val="161616"/>
          <w:sz w:val="22"/>
        </w:rPr>
        <w:t>For the 2026 calendar year, the Annual Forecasted Quantity of Product is [***].</w:t>
      </w:r>
    </w:p>
    <w:p>
      <w:pPr>
        <w:pStyle w:val="TextBody"/>
        <w:bidi w:val="0"/>
        <w:spacing w:before="0" w:after="0"/>
        <w:ind w:left="0" w:right="0" w:hanging="0"/>
        <w:jc w:val="left"/>
        <w:rPr>
          <w:color w:val="161616"/>
        </w:rPr>
      </w:pPr>
      <w:r>
        <w:rPr>
          <w:color w:val="161616"/>
        </w:rPr>
        <w:t>​</w:t>
      </w:r>
    </w:p>
    <w:p>
      <w:pPr>
        <w:pStyle w:val="TextBody"/>
        <w:bidi w:val="0"/>
        <w:spacing w:before="0" w:after="0"/>
        <w:ind w:left="0" w:right="0" w:hanging="0"/>
        <w:jc w:val="left"/>
        <w:rPr>
          <w:rFonts w:ascii="Arial;Helvetica;sans-serif" w:hAnsi="Arial;Helvetica;sans-serif"/>
          <w:color w:val="161616"/>
          <w:sz w:val="22"/>
        </w:rPr>
      </w:pPr>
      <w:r>
        <w:rPr>
          <w:rFonts w:ascii="Arial;Helvetica;sans-serif" w:hAnsi="Arial;Helvetica;sans-serif"/>
          <w:color w:val="161616"/>
          <w:sz w:val="22"/>
        </w:rPr>
        <w:t xml:space="preserve">If Buyer desires to purchase quantities of product in excess of the Annual Forecasted Quantity, RBT shall use reasonable best efforts to ensure such quantities are available for delivery to Buyer. </w:t>
      </w:r>
    </w:p>
    <w:p>
      <w:pPr>
        <w:pStyle w:val="TextBody"/>
        <w:bidi w:val="0"/>
        <w:spacing w:before="0" w:after="0"/>
        <w:ind w:left="0" w:right="0" w:hanging="0"/>
        <w:jc w:val="left"/>
        <w:rPr>
          <w:color w:val="161616"/>
        </w:rPr>
      </w:pPr>
      <w:r>
        <w:rPr>
          <w:color w:val="161616"/>
        </w:rPr>
        <w:t>​</w:t>
      </w:r>
    </w:p>
    <w:p>
      <w:pPr>
        <w:pStyle w:val="TextBody"/>
        <w:bidi w:val="0"/>
        <w:spacing w:before="0" w:after="0"/>
        <w:ind w:left="0" w:right="0" w:hanging="0"/>
        <w:jc w:val="left"/>
        <w:rPr>
          <w:rFonts w:ascii="Arial;Helvetica;sans-serif" w:hAnsi="Arial;Helvetica;sans-serif"/>
          <w:color w:val="161616"/>
          <w:sz w:val="22"/>
        </w:rPr>
      </w:pPr>
      <w:r>
        <w:rPr>
          <w:rFonts w:ascii="Arial;Helvetica;sans-serif" w:hAnsi="Arial;Helvetica;sans-serif"/>
          <w:color w:val="161616"/>
          <w:sz w:val="22"/>
        </w:rPr>
        <w:t xml:space="preserve">Any mutually agreed shipping schedule for the purpose of scheduling deliveries of Product shall be non-binding and revisions to the shipping schedule may, with reasonable notice, be requested by either Party. Under such circumstances, the Parties shall use commercially reasonable efforts to assist each other with any reasonable requests for revisions to the shipping schedule and negotiate in good faith to address the requested changes. </w:t>
      </w:r>
    </w:p>
    <w:p>
      <w:pPr>
        <w:pStyle w:val="TextBody"/>
        <w:bidi w:val="0"/>
        <w:spacing w:before="0" w:after="0"/>
        <w:ind w:left="0" w:right="0" w:hanging="0"/>
        <w:jc w:val="left"/>
        <w:rPr/>
      </w:pPr>
      <w:r>
        <w:rPr/>
        <w:t>​</w:t>
      </w:r>
    </w:p>
    <w:p>
      <w:pPr>
        <w:pStyle w:val="TextBody"/>
        <w:bidi w:val="0"/>
        <w:spacing w:before="0" w:after="0"/>
        <w:ind w:left="0" w:right="0" w:hanging="0"/>
        <w:jc w:val="left"/>
        <w:rPr>
          <w:rFonts w:ascii="Arial;Helvetica;sans-serif" w:hAnsi="Arial;Helvetica;sans-serif"/>
          <w:b/>
          <w:color w:val="161616"/>
          <w:spacing w:val="12"/>
          <w:sz w:val="22"/>
        </w:rPr>
      </w:pPr>
      <w:r>
        <w:rPr>
          <w:rFonts w:ascii="Arial;Helvetica;sans-serif" w:hAnsi="Arial;Helvetica;sans-serif"/>
          <w:b/>
          <w:color w:val="161616"/>
          <w:spacing w:val="12"/>
          <w:sz w:val="22"/>
        </w:rPr>
        <w:t>ARTICLE V. PRICE</w:t>
      </w:r>
    </w:p>
    <w:p>
      <w:pPr>
        <w:pStyle w:val="TextBody"/>
        <w:bidi w:val="0"/>
        <w:spacing w:before="0" w:after="0"/>
        <w:ind w:left="0" w:right="0" w:hanging="0"/>
        <w:jc w:val="left"/>
        <w:rPr>
          <w:color w:val="161616"/>
        </w:rPr>
      </w:pPr>
      <w:r>
        <w:rPr>
          <w:color w:val="161616"/>
        </w:rPr>
        <w:t>​</w:t>
      </w:r>
    </w:p>
    <w:tbl>
      <w:tblPr>
        <w:tblW w:w="2141" w:type="dxa"/>
        <w:jc w:val="left"/>
        <w:tblInd w:w="0" w:type="dxa"/>
        <w:tblLayout w:type="fixed"/>
        <w:tblCellMar>
          <w:top w:w="0" w:type="dxa"/>
          <w:left w:w="0" w:type="dxa"/>
          <w:bottom w:w="0" w:type="dxa"/>
          <w:right w:w="0" w:type="dxa"/>
        </w:tblCellMar>
      </w:tblPr>
      <w:tblGrid>
        <w:gridCol w:w="23"/>
        <w:gridCol w:w="245"/>
        <w:gridCol w:w="1850"/>
        <w:gridCol w:w="23"/>
      </w:tblGrid>
      <w:tr>
        <w:trPr/>
        <w:tc>
          <w:tcPr>
            <w:tcW w:w="23"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rFonts w:ascii="Times New Roman;Times;serif" w:hAnsi="Times New Roman;Times;serif"/>
                <w:sz w:val="22"/>
              </w:rPr>
            </w:pPr>
            <w:r>
              <w:rPr>
                <w:rFonts w:ascii="Times New Roman;Times;serif" w:hAnsi="Times New Roman;Times;serif"/>
                <w:sz w:val="22"/>
              </w:rPr>
              <w:t>A.</w:t>
            </w:r>
          </w:p>
        </w:tc>
        <w:tc>
          <w:tcPr>
            <w:tcW w:w="1850" w:type="dxa"/>
            <w:tcBorders/>
            <w:vAlign w:val="center"/>
          </w:tcPr>
          <w:p>
            <w:pPr>
              <w:pStyle w:val="TableContents"/>
              <w:bidi w:val="0"/>
              <w:spacing w:before="0" w:after="283"/>
              <w:jc w:val="left"/>
              <w:rPr>
                <w:rFonts w:ascii="Arial;Helvetica;sans-serif" w:hAnsi="Arial;Helvetica;sans-serif"/>
                <w:b w:val="false"/>
                <w:i w:val="false"/>
                <w:caps w:val="false"/>
                <w:smallCaps w:val="false"/>
                <w:sz w:val="22"/>
              </w:rPr>
            </w:pPr>
            <w:r>
              <w:rPr>
                <w:rFonts w:ascii="Arial;Helvetica;sans-serif" w:hAnsi="Arial;Helvetica;sans-serif"/>
                <w:b w:val="false"/>
                <w:i w:val="false"/>
                <w:caps w:val="false"/>
                <w:smallCaps w:val="false"/>
                <w:sz w:val="22"/>
              </w:rPr>
              <w:t xml:space="preserve">Feedstock Pricing </w:t>
            </w:r>
          </w:p>
        </w:tc>
        <w:tc>
          <w:tcPr>
            <w:tcW w:w="23"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721" w:right="0" w:hanging="0"/>
        <w:jc w:val="left"/>
        <w:rPr/>
      </w:pPr>
      <w:r>
        <w:rPr/>
        <w:t>​</w:t>
      </w:r>
    </w:p>
    <w:tbl>
      <w:tblPr>
        <w:tblW w:w="10166" w:type="dxa"/>
        <w:jc w:val="left"/>
        <w:tblInd w:w="0" w:type="dxa"/>
        <w:tblLayout w:type="fixed"/>
        <w:tblCellMar>
          <w:top w:w="0" w:type="dxa"/>
          <w:left w:w="0" w:type="dxa"/>
          <w:bottom w:w="0" w:type="dxa"/>
          <w:right w:w="0" w:type="dxa"/>
        </w:tblCellMar>
      </w:tblPr>
      <w:tblGrid>
        <w:gridCol w:w="23"/>
        <w:gridCol w:w="200"/>
        <w:gridCol w:w="9920"/>
        <w:gridCol w:w="23"/>
      </w:tblGrid>
      <w:tr>
        <w:trPr/>
        <w:tc>
          <w:tcPr>
            <w:tcW w:w="23"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rFonts w:ascii="Times New Roman;Times;serif" w:hAnsi="Times New Roman;Times;serif"/>
                <w:sz w:val="22"/>
              </w:rPr>
            </w:pPr>
            <w:r>
              <w:rPr>
                <w:rFonts w:ascii="Times New Roman;Times;serif" w:hAnsi="Times New Roman;Times;serif"/>
                <w:sz w:val="22"/>
              </w:rPr>
              <w:t>1.</w:t>
            </w:r>
          </w:p>
        </w:tc>
        <w:tc>
          <w:tcPr>
            <w:tcW w:w="9920" w:type="dxa"/>
            <w:tcBorders/>
            <w:vAlign w:val="center"/>
          </w:tcPr>
          <w:p>
            <w:pPr>
              <w:pStyle w:val="TableContents"/>
              <w:bidi w:val="0"/>
              <w:spacing w:before="0" w:after="283"/>
              <w:jc w:val="left"/>
              <w:rPr>
                <w:rFonts w:ascii="Arial;Helvetica;sans-serif" w:hAnsi="Arial;Helvetica;sans-serif"/>
                <w:b w:val="false"/>
                <w:i w:val="false"/>
                <w:caps w:val="false"/>
                <w:smallCaps w:val="false"/>
                <w:sz w:val="22"/>
              </w:rPr>
            </w:pPr>
            <w:r>
              <w:rPr>
                <w:rFonts w:ascii="Arial;Helvetica;sans-serif" w:hAnsi="Arial;Helvetica;sans-serif"/>
                <w:b w:val="false"/>
                <w:i w:val="false"/>
                <w:caps w:val="false"/>
                <w:smallCaps w:val="false"/>
                <w:sz w:val="22"/>
              </w:rPr>
              <w:t xml:space="preserve">For the 2026 calendar year, the purchase price (the “Purchase Price”) for Product shall be as follows: </w:t>
            </w:r>
          </w:p>
        </w:tc>
        <w:tc>
          <w:tcPr>
            <w:tcW w:w="23"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95" w:before="0" w:after="3"/>
        <w:ind w:left="1081" w:right="51" w:firstLine="720"/>
        <w:jc w:val="left"/>
        <w:rPr>
          <w:rFonts w:ascii="Arial;Helvetica;sans-serif" w:hAnsi="Arial;Helvetica;sans-serif"/>
          <w:sz w:val="22"/>
        </w:rPr>
      </w:pPr>
      <w:r>
        <w:rPr>
          <w:rFonts w:ascii="Arial;Helvetica;sans-serif" w:hAnsi="Arial;Helvetica;sans-serif"/>
          <w:sz w:val="22"/>
        </w:rPr>
        <w:t>[***]</w:t>
      </w:r>
    </w:p>
    <w:p>
      <w:pPr>
        <w:pStyle w:val="TextBody"/>
        <w:bidi w:val="0"/>
        <w:spacing w:before="0" w:after="0"/>
        <w:ind w:left="72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23"/>
        <w:gridCol w:w="198"/>
        <w:gridCol w:w="9960"/>
        <w:gridCol w:w="24"/>
      </w:tblGrid>
      <w:tr>
        <w:trPr/>
        <w:tc>
          <w:tcPr>
            <w:tcW w:w="23"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rFonts w:ascii="Times New Roman;Times;serif" w:hAnsi="Times New Roman;Times;serif"/>
                <w:sz w:val="22"/>
              </w:rPr>
            </w:pPr>
            <w:r>
              <w:rPr>
                <w:rFonts w:ascii="Times New Roman;Times;serif" w:hAnsi="Times New Roman;Times;serif"/>
                <w:sz w:val="22"/>
              </w:rPr>
              <w:t>2.</w:t>
            </w:r>
          </w:p>
        </w:tc>
        <w:tc>
          <w:tcPr>
            <w:tcW w:w="9960" w:type="dxa"/>
            <w:tcBorders/>
            <w:vAlign w:val="center"/>
          </w:tcPr>
          <w:p>
            <w:pPr>
              <w:pStyle w:val="TableContents"/>
              <w:bidi w:val="0"/>
              <w:spacing w:before="0" w:after="283"/>
              <w:jc w:val="left"/>
              <w:rPr>
                <w:rFonts w:ascii="Arial;Helvetica;sans-serif" w:hAnsi="Arial;Helvetica;sans-serif"/>
                <w:b w:val="false"/>
                <w:i w:val="false"/>
                <w:caps w:val="false"/>
                <w:smallCaps w:val="false"/>
                <w:sz w:val="22"/>
              </w:rPr>
            </w:pPr>
            <w:r>
              <w:rPr>
                <w:rFonts w:ascii="Arial;Helvetica;sans-serif" w:hAnsi="Arial;Helvetica;sans-serif"/>
                <w:b w:val="false"/>
                <w:i w:val="false"/>
                <w:caps w:val="false"/>
                <w:smallCaps w:val="false"/>
                <w:sz w:val="22"/>
              </w:rPr>
              <w:t xml:space="preserve">Commencing July 1, 2026, the Purchase Price [***] shall be calculated in accordance with Annex 1, [***]. </w:t>
            </w:r>
          </w:p>
        </w:tc>
        <w:tc>
          <w:tcPr>
            <w:tcW w:w="2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721"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23"/>
        <w:gridCol w:w="230"/>
        <w:gridCol w:w="9929"/>
        <w:gridCol w:w="23"/>
      </w:tblGrid>
      <w:tr>
        <w:trPr/>
        <w:tc>
          <w:tcPr>
            <w:tcW w:w="23"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rFonts w:ascii="Times New Roman;Times;serif" w:hAnsi="Times New Roman;Times;serif"/>
                <w:sz w:val="22"/>
              </w:rPr>
            </w:pPr>
            <w:r>
              <w:rPr>
                <w:rFonts w:ascii="Times New Roman;Times;serif" w:hAnsi="Times New Roman;Times;serif"/>
                <w:sz w:val="22"/>
              </w:rPr>
              <w:t>B.</w:t>
            </w:r>
          </w:p>
        </w:tc>
        <w:tc>
          <w:tcPr>
            <w:tcW w:w="9929" w:type="dxa"/>
            <w:tcBorders/>
            <w:vAlign w:val="center"/>
          </w:tcPr>
          <w:p>
            <w:pPr>
              <w:pStyle w:val="TableContents"/>
              <w:bidi w:val="0"/>
              <w:spacing w:before="0" w:after="283"/>
              <w:jc w:val="left"/>
              <w:rPr>
                <w:rFonts w:ascii="Arial;Helvetica;sans-serif" w:hAnsi="Arial;Helvetica;sans-serif"/>
                <w:b w:val="false"/>
                <w:i w:val="false"/>
                <w:caps w:val="false"/>
                <w:smallCaps w:val="false"/>
                <w:sz w:val="22"/>
              </w:rPr>
            </w:pPr>
            <w:r>
              <w:rPr>
                <w:rFonts w:ascii="Arial;Helvetica;sans-serif" w:hAnsi="Arial;Helvetica;sans-serif"/>
                <w:b w:val="false"/>
                <w:i w:val="false"/>
                <w:caps w:val="false"/>
                <w:smallCaps w:val="false"/>
                <w:sz w:val="22"/>
              </w:rPr>
              <w:t xml:space="preserve">Price Adjustment for TiO2 Content. The Purchase Price established under this Article V.A is for Product containing [***]% titanium dioxide (“TiO2”) content. If the TiO2 content of Product exceeds [***]%, the Purchase Price shall be [***] of the Purchase Price for each increment of [***]% or part thereof by which the TiO2 content exceeds [***]%. If the TiO2 content of Product is less than [***]%, the Purchase Price shall be [***] of the Purchase Price for each decrement of [***]% or part thereof by which the TiO2 content is less than [***]% but greater than [***]%. </w:t>
            </w:r>
          </w:p>
        </w:tc>
        <w:tc>
          <w:tcPr>
            <w:tcW w:w="23"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
        <w:ind w:left="1081" w:right="0" w:hanging="0"/>
        <w:jc w:val="left"/>
        <w:rPr/>
      </w:pPr>
      <w:r>
        <w:rPr/>
        <w:t>​</w:t>
      </w:r>
    </w:p>
    <w:tbl>
      <w:tblPr>
        <w:tblW w:w="3821" w:type="dxa"/>
        <w:jc w:val="left"/>
        <w:tblInd w:w="0" w:type="dxa"/>
        <w:tblLayout w:type="fixed"/>
        <w:tblCellMar>
          <w:top w:w="0" w:type="dxa"/>
          <w:left w:w="0" w:type="dxa"/>
          <w:bottom w:w="0" w:type="dxa"/>
          <w:right w:w="0" w:type="dxa"/>
        </w:tblCellMar>
      </w:tblPr>
      <w:tblGrid>
        <w:gridCol w:w="23"/>
        <w:gridCol w:w="230"/>
        <w:gridCol w:w="3545"/>
        <w:gridCol w:w="23"/>
      </w:tblGrid>
      <w:tr>
        <w:trPr/>
        <w:tc>
          <w:tcPr>
            <w:tcW w:w="23"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rFonts w:ascii="Times New Roman;Times;serif" w:hAnsi="Times New Roman;Times;serif"/>
                <w:sz w:val="22"/>
              </w:rPr>
            </w:pPr>
            <w:r>
              <w:rPr>
                <w:rFonts w:ascii="Times New Roman;Times;serif" w:hAnsi="Times New Roman;Times;serif"/>
                <w:sz w:val="22"/>
              </w:rPr>
              <w:t>C.</w:t>
            </w:r>
          </w:p>
        </w:tc>
        <w:tc>
          <w:tcPr>
            <w:tcW w:w="3545" w:type="dxa"/>
            <w:tcBorders/>
            <w:vAlign w:val="center"/>
          </w:tcPr>
          <w:p>
            <w:pPr>
              <w:pStyle w:val="TableContents"/>
              <w:bidi w:val="0"/>
              <w:spacing w:before="0" w:after="283"/>
              <w:jc w:val="left"/>
              <w:rPr>
                <w:rFonts w:ascii="Arial;Helvetica;sans-serif" w:hAnsi="Arial;Helvetica;sans-serif"/>
                <w:b w:val="false"/>
                <w:i w:val="false"/>
                <w:caps w:val="false"/>
                <w:smallCaps w:val="false"/>
                <w:sz w:val="22"/>
              </w:rPr>
            </w:pPr>
            <w:r>
              <w:rPr>
                <w:rFonts w:ascii="Arial;Helvetica;sans-serif" w:hAnsi="Arial;Helvetica;sans-serif"/>
                <w:b w:val="false"/>
                <w:i w:val="false"/>
                <w:caps w:val="false"/>
                <w:smallCaps w:val="false"/>
                <w:sz w:val="22"/>
              </w:rPr>
              <w:t xml:space="preserve">Price Adjustment for Product Sizing </w:t>
            </w:r>
          </w:p>
        </w:tc>
        <w:tc>
          <w:tcPr>
            <w:tcW w:w="23"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
        <w:ind w:left="1081"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23"/>
        <w:gridCol w:w="184"/>
        <w:gridCol w:w="9974"/>
        <w:gridCol w:w="24"/>
      </w:tblGrid>
      <w:tr>
        <w:trPr/>
        <w:tc>
          <w:tcPr>
            <w:tcW w:w="23"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rFonts w:ascii="Times New Roman;Times;serif" w:hAnsi="Times New Roman;Times;serif"/>
                <w:sz w:val="22"/>
              </w:rPr>
            </w:pPr>
            <w:r>
              <w:rPr>
                <w:rFonts w:ascii="Times New Roman;Times;serif" w:hAnsi="Times New Roman;Times;serif"/>
                <w:sz w:val="22"/>
              </w:rPr>
              <w:t>1.</w:t>
            </w:r>
          </w:p>
        </w:tc>
        <w:tc>
          <w:tcPr>
            <w:tcW w:w="9974" w:type="dxa"/>
            <w:tcBorders/>
            <w:vAlign w:val="center"/>
          </w:tcPr>
          <w:p>
            <w:pPr>
              <w:pStyle w:val="TableContents"/>
              <w:bidi w:val="0"/>
              <w:spacing w:before="0" w:after="283"/>
              <w:jc w:val="left"/>
              <w:rPr>
                <w:rFonts w:ascii="Arial;Helvetica;sans-serif" w:hAnsi="Arial;Helvetica;sans-serif"/>
                <w:b w:val="false"/>
                <w:i w:val="false"/>
                <w:caps w:val="false"/>
                <w:smallCaps w:val="false"/>
                <w:sz w:val="22"/>
              </w:rPr>
            </w:pPr>
            <w:r>
              <w:rPr>
                <w:rFonts w:ascii="Arial;Helvetica;sans-serif" w:hAnsi="Arial;Helvetica;sans-serif"/>
                <w:b w:val="false"/>
                <w:i w:val="false"/>
                <w:caps w:val="false"/>
                <w:smallCaps w:val="false"/>
                <w:sz w:val="22"/>
              </w:rPr>
              <w:t xml:space="preserve">In the event the sizing of the Product shipments exceeds the specifications set forth below, the Purchase Price shall be adjusted [***]: </w:t>
            </w:r>
          </w:p>
        </w:tc>
        <w:tc>
          <w:tcPr>
            <w:tcW w:w="24" w:type="dxa"/>
            <w:tcBorders/>
            <w:vAlign w:val="center"/>
          </w:tcPr>
          <w:p>
            <w:pPr>
              <w:pStyle w:val="TableContents"/>
              <w:bidi w:val="0"/>
              <w:spacing w:before="0" w:after="283"/>
              <w:jc w:val="left"/>
              <w:rPr>
                <w:sz w:val="4"/>
                <w:szCs w:val="4"/>
              </w:rPr>
            </w:pPr>
            <w:r>
              <w:rPr>
                <w:sz w:val="4"/>
                <w:szCs w:val="4"/>
              </w:rPr>
            </w:r>
          </w:p>
        </w:tc>
      </w:tr>
    </w:tbl>
    <w:p>
      <w:pPr>
        <w:pStyle w:val="TextBody"/>
        <w:pBdr/>
        <w:bidi w:val="0"/>
        <w:spacing w:lineRule="auto" w:line="295" w:before="0" w:after="3"/>
        <w:ind w:left="1800" w:right="51" w:hanging="10"/>
        <w:jc w:val="left"/>
        <w:rPr>
          <w:rFonts w:ascii="Arial;Helvetica;sans-serif" w:hAnsi="Arial;Helvetica;sans-serif"/>
          <w:sz w:val="22"/>
        </w:rPr>
      </w:pPr>
      <w:r>
        <w:rPr>
          <w:rFonts w:ascii="Arial;Helvetica;sans-serif" w:hAnsi="Arial;Helvetica;sans-serif"/>
          <w:sz w:val="22"/>
        </w:rPr>
        <w:t>[***]</w:t>
      </w:r>
    </w:p>
    <w:p>
      <w:pPr>
        <w:pStyle w:val="TextBody"/>
        <w:bidi w:val="0"/>
        <w:spacing w:before="0" w:after="0"/>
        <w:ind w:left="1441" w:right="0" w:hanging="0"/>
        <w:jc w:val="left"/>
        <w:rPr/>
      </w:pPr>
      <w:r>
        <w:rPr/>
        <w:t>​</w:t>
      </w:r>
    </w:p>
    <w:tbl>
      <w:tblPr>
        <w:tblW w:w="7841" w:type="dxa"/>
        <w:jc w:val="left"/>
        <w:tblInd w:w="0" w:type="dxa"/>
        <w:tblLayout w:type="fixed"/>
        <w:tblCellMar>
          <w:top w:w="0" w:type="dxa"/>
          <w:left w:w="0" w:type="dxa"/>
          <w:bottom w:w="0" w:type="dxa"/>
          <w:right w:w="0" w:type="dxa"/>
        </w:tblCellMar>
      </w:tblPr>
      <w:tblGrid>
        <w:gridCol w:w="23"/>
        <w:gridCol w:w="200"/>
        <w:gridCol w:w="7595"/>
        <w:gridCol w:w="23"/>
      </w:tblGrid>
      <w:tr>
        <w:trPr/>
        <w:tc>
          <w:tcPr>
            <w:tcW w:w="23"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rFonts w:ascii="Times New Roman;Times;serif" w:hAnsi="Times New Roman;Times;serif"/>
                <w:sz w:val="22"/>
              </w:rPr>
            </w:pPr>
            <w:r>
              <w:rPr>
                <w:rFonts w:ascii="Times New Roman;Times;serif" w:hAnsi="Times New Roman;Times;serif"/>
                <w:sz w:val="22"/>
              </w:rPr>
              <w:t>2.</w:t>
            </w:r>
          </w:p>
        </w:tc>
        <w:tc>
          <w:tcPr>
            <w:tcW w:w="7595" w:type="dxa"/>
            <w:tcBorders/>
            <w:vAlign w:val="center"/>
          </w:tcPr>
          <w:p>
            <w:pPr>
              <w:pStyle w:val="TableContents"/>
              <w:bidi w:val="0"/>
              <w:spacing w:before="0" w:after="283"/>
              <w:jc w:val="left"/>
              <w:rPr>
                <w:rFonts w:ascii="Arial;Helvetica;sans-serif" w:hAnsi="Arial;Helvetica;sans-serif"/>
                <w:b w:val="false"/>
                <w:i w:val="false"/>
                <w:caps w:val="false"/>
                <w:smallCaps w:val="false"/>
                <w:sz w:val="22"/>
              </w:rPr>
            </w:pPr>
            <w:r>
              <w:rPr>
                <w:rFonts w:ascii="Arial;Helvetica;sans-serif" w:hAnsi="Arial;Helvetica;sans-serif"/>
                <w:b w:val="false"/>
                <w:i w:val="false"/>
                <w:caps w:val="false"/>
                <w:smallCaps w:val="false"/>
                <w:sz w:val="22"/>
              </w:rPr>
              <w:t xml:space="preserve">Price adjustments pursuant to sizing shall be made on an individual shipment. </w:t>
            </w:r>
          </w:p>
        </w:tc>
        <w:tc>
          <w:tcPr>
            <w:tcW w:w="23"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72" w:right="72" w:hanging="0"/>
        <w:jc w:val="left"/>
        <w:rPr/>
      </w:pPr>
      <w:r>
        <w:rPr/>
        <w:t>​</w:t>
      </w:r>
    </w:p>
    <w:p>
      <w:pPr>
        <w:pStyle w:val="TextBody"/>
        <w:bidi w:val="0"/>
        <w:spacing w:before="0" w:after="0"/>
        <w:ind w:left="72" w:right="648" w:hanging="0"/>
        <w:jc w:val="left"/>
        <w:rPr>
          <w:rFonts w:ascii="Arial;Helvetica;sans-serif" w:hAnsi="Arial;Helvetica;sans-serif"/>
          <w:b/>
          <w:sz w:val="22"/>
        </w:rPr>
      </w:pPr>
      <w:r>
        <w:rPr>
          <w:rFonts w:ascii="Arial;Helvetica;sans-serif" w:hAnsi="Arial;Helvetica;sans-serif"/>
          <w:b/>
          <w:sz w:val="22"/>
        </w:rPr>
        <w:t>ARTICLE VI. SHIPMENTS</w:t>
      </w:r>
    </w:p>
    <w:p>
      <w:pPr>
        <w:pStyle w:val="TextBody"/>
        <w:bidi w:val="0"/>
        <w:spacing w:before="0" w:after="0"/>
        <w:ind w:left="72" w:right="648" w:hanging="0"/>
        <w:jc w:val="left"/>
        <w:rPr/>
      </w:pPr>
      <w:r>
        <w:rPr/>
        <w:t>​</w:t>
      </w:r>
    </w:p>
    <w:tbl>
      <w:tblPr>
        <w:tblW w:w="10205" w:type="dxa"/>
        <w:jc w:val="left"/>
        <w:tblInd w:w="0" w:type="dxa"/>
        <w:tblLayout w:type="fixed"/>
        <w:tblCellMar>
          <w:top w:w="0" w:type="dxa"/>
          <w:left w:w="0" w:type="dxa"/>
          <w:bottom w:w="0" w:type="dxa"/>
          <w:right w:w="0" w:type="dxa"/>
        </w:tblCellMar>
      </w:tblPr>
      <w:tblGrid>
        <w:gridCol w:w="230"/>
        <w:gridCol w:w="9952"/>
        <w:gridCol w:w="23"/>
      </w:tblGrid>
      <w:tr>
        <w:trPr/>
        <w:tc>
          <w:tcPr>
            <w:tcW w:w="230" w:type="dxa"/>
            <w:tcBorders/>
            <w:vAlign w:val="center"/>
          </w:tcPr>
          <w:p>
            <w:pPr>
              <w:pStyle w:val="TableContents"/>
              <w:bidi w:val="0"/>
              <w:spacing w:before="0" w:after="283"/>
              <w:jc w:val="left"/>
              <w:rPr>
                <w:rFonts w:ascii="Arial;Helvetica;sans-serif" w:hAnsi="Arial;Helvetica;sans-serif"/>
                <w:sz w:val="22"/>
              </w:rPr>
            </w:pPr>
            <w:r>
              <w:rPr>
                <w:rFonts w:ascii="Arial;Helvetica;sans-serif" w:hAnsi="Arial;Helvetica;sans-serif"/>
                <w:sz w:val="22"/>
              </w:rPr>
              <w:t>A.</w:t>
            </w:r>
          </w:p>
        </w:tc>
        <w:tc>
          <w:tcPr>
            <w:tcW w:w="9952" w:type="dxa"/>
            <w:tcBorders/>
            <w:vAlign w:val="center"/>
          </w:tcPr>
          <w:p>
            <w:pPr>
              <w:pStyle w:val="TableContents"/>
              <w:bidi w:val="0"/>
              <w:spacing w:before="0" w:after="283"/>
              <w:jc w:val="left"/>
              <w:rPr>
                <w:rFonts w:ascii="Arial;Helvetica;sans-serif" w:hAnsi="Arial;Helvetica;sans-serif"/>
                <w:b w:val="false"/>
                <w:i w:val="false"/>
                <w:caps w:val="false"/>
                <w:smallCaps w:val="false"/>
                <w:sz w:val="22"/>
              </w:rPr>
            </w:pPr>
            <w:r>
              <w:rPr>
                <w:rFonts w:ascii="Arial;Helvetica;sans-serif" w:hAnsi="Arial;Helvetica;sans-serif"/>
                <w:b w:val="false"/>
                <w:i w:val="false"/>
                <w:caps w:val="false"/>
                <w:smallCaps w:val="false"/>
                <w:sz w:val="22"/>
              </w:rPr>
              <w:t>Shipments shall be as ordered by and pursuant to the instructions of Buyer as the same shall be agreed to by RBT. Buyer shall obtain any import licenses or other documents that may be required to import Product into the country of destination. RBT shall obtain any export license or other documents that may be required to export product from South Africa.</w:t>
            </w:r>
          </w:p>
        </w:tc>
        <w:tc>
          <w:tcPr>
            <w:tcW w:w="23"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72" w:hanging="0"/>
        <w:jc w:val="both"/>
        <w:rPr/>
      </w:pPr>
      <w:r>
        <w:rPr/>
        <w:t>​</w:t>
      </w:r>
    </w:p>
    <w:p>
      <w:pPr>
        <w:pStyle w:val="TextBody"/>
        <w:bidi w:val="0"/>
        <w:spacing w:before="0" w:after="0"/>
        <w:ind w:left="0" w:right="0" w:hanging="0"/>
        <w:jc w:val="center"/>
        <w:rPr>
          <w:rFonts w:ascii="Arial;Helvetica;sans-serif" w:hAnsi="Arial;Helvetica;sans-serif"/>
          <w:caps/>
          <w:sz w:val="20"/>
        </w:rPr>
      </w:pPr>
      <w:r>
        <w:rPr>
          <w:rFonts w:ascii="Arial;Helvetica;sans-serif" w:hAnsi="Arial;Helvetica;sans-serif"/>
          <w:caps/>
          <w:sz w:val="20"/>
        </w:rPr>
        <w:t>3</w:t>
      </w:r>
    </w:p>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tbl>
      <w:tblPr>
        <w:tblW w:w="10205" w:type="dxa"/>
        <w:jc w:val="left"/>
        <w:tblInd w:w="0" w:type="dxa"/>
        <w:tblLayout w:type="fixed"/>
        <w:tblCellMar>
          <w:top w:w="0" w:type="dxa"/>
          <w:left w:w="0" w:type="dxa"/>
          <w:bottom w:w="0" w:type="dxa"/>
          <w:right w:w="0" w:type="dxa"/>
        </w:tblCellMar>
      </w:tblPr>
      <w:tblGrid>
        <w:gridCol w:w="23"/>
        <w:gridCol w:w="230"/>
        <w:gridCol w:w="9929"/>
        <w:gridCol w:w="23"/>
      </w:tblGrid>
      <w:tr>
        <w:trPr/>
        <w:tc>
          <w:tcPr>
            <w:tcW w:w="23"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rFonts w:ascii="Arial;Helvetica;sans-serif" w:hAnsi="Arial;Helvetica;sans-serif"/>
                <w:sz w:val="22"/>
              </w:rPr>
            </w:pPr>
            <w:r>
              <w:rPr>
                <w:rFonts w:ascii="Arial;Helvetica;sans-serif" w:hAnsi="Arial;Helvetica;sans-serif"/>
                <w:sz w:val="22"/>
              </w:rPr>
              <w:t>B.</w:t>
            </w:r>
          </w:p>
        </w:tc>
        <w:tc>
          <w:tcPr>
            <w:tcW w:w="9929" w:type="dxa"/>
            <w:tcBorders/>
            <w:vAlign w:val="center"/>
          </w:tcPr>
          <w:p>
            <w:pPr>
              <w:pStyle w:val="TableContents"/>
              <w:bidi w:val="0"/>
              <w:spacing w:before="0" w:after="283"/>
              <w:jc w:val="left"/>
              <w:rPr>
                <w:rFonts w:ascii="Arial;Helvetica;sans-serif" w:hAnsi="Arial;Helvetica;sans-serif"/>
                <w:b w:val="false"/>
                <w:i w:val="false"/>
                <w:caps w:val="false"/>
                <w:smallCaps w:val="false"/>
                <w:spacing w:val="1"/>
                <w:sz w:val="22"/>
              </w:rPr>
            </w:pPr>
            <w:r>
              <w:rPr>
                <w:rFonts w:ascii="Arial;Helvetica;sans-serif" w:hAnsi="Arial;Helvetica;sans-serif"/>
                <w:b w:val="false"/>
                <w:i w:val="false"/>
                <w:caps w:val="false"/>
                <w:smallCaps w:val="false"/>
                <w:spacing w:val="1"/>
                <w:sz w:val="22"/>
              </w:rPr>
              <w:t>RBT and Buyer shall agree on a shipping schedule whereby deliveries are spread more or less evenly throughout the year on a quarterly basis. Buyer shall arrange for and furnish a bulk cargo vessel (herein called "Buyer's Vessel") for each shipment. Notwithstanding the agreed shipping schedule, Buyer must request STEM (as defined in Article VI.D. below) for a specific tonnage from RBT and RBT must confirm STEM in respect of each shipment at least forty-five (45) days prior to the arrival of Buyer's Vessel in Richards Bay.</w:t>
            </w:r>
          </w:p>
        </w:tc>
        <w:tc>
          <w:tcPr>
            <w:tcW w:w="23"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72" w:hanging="0"/>
        <w:jc w:val="both"/>
        <w:rPr>
          <w:spacing w:val="1"/>
        </w:rPr>
      </w:pPr>
      <w:r>
        <w:rPr>
          <w:spacing w:val="1"/>
        </w:rPr>
        <w:t>​</w:t>
      </w:r>
    </w:p>
    <w:p>
      <w:pPr>
        <w:pStyle w:val="TextBody"/>
        <w:bidi w:val="0"/>
        <w:spacing w:before="0" w:after="0"/>
        <w:ind w:left="720" w:right="72" w:hanging="0"/>
        <w:jc w:val="both"/>
        <w:rPr>
          <w:rFonts w:ascii="Arial;Helvetica;sans-serif" w:hAnsi="Arial;Helvetica;sans-serif"/>
          <w:sz w:val="22"/>
        </w:rPr>
      </w:pPr>
      <w:r>
        <w:rPr>
          <w:rFonts w:ascii="Arial;Helvetica;sans-serif" w:hAnsi="Arial;Helvetica;sans-serif"/>
          <w:sz w:val="22"/>
        </w:rPr>
        <w:t>Buyer shall provide RBT with a notice of arrival of each of Buyer's Vessels at least two (2) weeks prior to its estimated time of arrival at Richards Bay.</w:t>
      </w:r>
    </w:p>
    <w:p>
      <w:pPr>
        <w:pStyle w:val="TextBody"/>
        <w:bidi w:val="0"/>
        <w:spacing w:before="0" w:after="0"/>
        <w:ind w:left="720" w:right="72" w:hanging="0"/>
        <w:jc w:val="both"/>
        <w:rPr/>
      </w:pPr>
      <w:r>
        <w:rPr/>
        <w:t>​</w:t>
      </w:r>
    </w:p>
    <w:tbl>
      <w:tblPr>
        <w:tblW w:w="10205" w:type="dxa"/>
        <w:jc w:val="left"/>
        <w:tblInd w:w="0" w:type="dxa"/>
        <w:tblLayout w:type="fixed"/>
        <w:tblCellMar>
          <w:top w:w="0" w:type="dxa"/>
          <w:left w:w="0" w:type="dxa"/>
          <w:bottom w:w="0" w:type="dxa"/>
          <w:right w:w="0" w:type="dxa"/>
        </w:tblCellMar>
      </w:tblPr>
      <w:tblGrid>
        <w:gridCol w:w="23"/>
        <w:gridCol w:w="245"/>
        <w:gridCol w:w="9914"/>
        <w:gridCol w:w="23"/>
      </w:tblGrid>
      <w:tr>
        <w:trPr/>
        <w:tc>
          <w:tcPr>
            <w:tcW w:w="23"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rFonts w:ascii="Arial;Helvetica;sans-serif" w:hAnsi="Arial;Helvetica;sans-serif"/>
                <w:sz w:val="22"/>
              </w:rPr>
            </w:pPr>
            <w:r>
              <w:rPr>
                <w:rFonts w:ascii="Arial;Helvetica;sans-serif" w:hAnsi="Arial;Helvetica;sans-serif"/>
                <w:sz w:val="22"/>
              </w:rPr>
              <w:t>C.</w:t>
            </w:r>
          </w:p>
        </w:tc>
        <w:tc>
          <w:tcPr>
            <w:tcW w:w="9914" w:type="dxa"/>
            <w:tcBorders/>
            <w:vAlign w:val="center"/>
          </w:tcPr>
          <w:p>
            <w:pPr>
              <w:pStyle w:val="TableContents"/>
              <w:bidi w:val="0"/>
              <w:spacing w:before="0" w:after="283"/>
              <w:jc w:val="left"/>
              <w:rPr/>
            </w:pPr>
            <w:r>
              <w:rPr>
                <w:rFonts w:ascii="Arial;Helvetica;sans-serif" w:hAnsi="Arial;Helvetica;sans-serif"/>
                <w:b w:val="false"/>
                <w:i w:val="false"/>
                <w:caps w:val="false"/>
                <w:smallCaps w:val="false"/>
                <w:spacing w:val="-1"/>
                <w:sz w:val="22"/>
              </w:rPr>
              <w:t xml:space="preserve">In the event RBT has given STEM to Buyer and if Product is not available for loading at the stockpile area provided by S.A. Port Operations on the date for which STEM has been given and if demurrage or dead freight is incurred as a result of such non-availability, </w:t>
            </w:r>
            <w:r>
              <w:rPr>
                <w:rFonts w:ascii="Arial;Helvetica;sans-serif" w:hAnsi="Arial;Helvetica;sans-serif"/>
                <w:b w:val="false"/>
                <w:i w:val="false"/>
                <w:caps w:val="false"/>
                <w:smallCaps w:val="false"/>
                <w:sz w:val="22"/>
              </w:rPr>
              <w:t>RBT shall pay Buyer demurrage and/or dead freight at the rate specified or determined between Buyer and the shipping company under the Charter Party. In arranging for any Buyer's Vessel, Buyer will use its best efforts to have the terms of the Charter Party permit RBT, in the case of a shortfall of Product at the Richards Bay dock, to elect between having Buyer's Vessel:</w:t>
            </w:r>
          </w:p>
        </w:tc>
        <w:tc>
          <w:tcPr>
            <w:tcW w:w="23"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720" w:right="72" w:hanging="0"/>
        <w:jc w:val="both"/>
        <w:rPr/>
      </w:pPr>
      <w:r>
        <w:rPr/>
        <w:t>​</w:t>
      </w:r>
    </w:p>
    <w:tbl>
      <w:tblPr>
        <w:tblW w:w="10205" w:type="dxa"/>
        <w:jc w:val="left"/>
        <w:tblInd w:w="0" w:type="dxa"/>
        <w:tblLayout w:type="fixed"/>
        <w:tblCellMar>
          <w:top w:w="0" w:type="dxa"/>
          <w:left w:w="0" w:type="dxa"/>
          <w:bottom w:w="0" w:type="dxa"/>
          <w:right w:w="0" w:type="dxa"/>
        </w:tblCellMar>
      </w:tblPr>
      <w:tblGrid>
        <w:gridCol w:w="23"/>
        <w:gridCol w:w="176"/>
        <w:gridCol w:w="10006"/>
      </w:tblGrid>
      <w:tr>
        <w:trPr/>
        <w:tc>
          <w:tcPr>
            <w:tcW w:w="23"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rFonts w:ascii="Arial;Helvetica;sans-serif" w:hAnsi="Arial;Helvetica;sans-serif"/>
                <w:sz w:val="22"/>
              </w:rPr>
            </w:pPr>
            <w:r>
              <w:rPr>
                <w:rFonts w:ascii="Arial;Helvetica;sans-serif" w:hAnsi="Arial;Helvetica;sans-serif"/>
                <w:sz w:val="22"/>
              </w:rPr>
              <w:t>a)</w:t>
            </w:r>
          </w:p>
        </w:tc>
        <w:tc>
          <w:tcPr>
            <w:tcW w:w="10006" w:type="dxa"/>
            <w:tcBorders/>
            <w:vAlign w:val="center"/>
          </w:tcPr>
          <w:p>
            <w:pPr>
              <w:pStyle w:val="TableContents"/>
              <w:bidi w:val="0"/>
              <w:spacing w:before="0" w:after="283"/>
              <w:jc w:val="left"/>
              <w:rPr>
                <w:rFonts w:ascii="Arial;Helvetica;sans-serif" w:hAnsi="Arial;Helvetica;sans-serif"/>
                <w:b w:val="false"/>
                <w:i w:val="false"/>
                <w:caps w:val="false"/>
                <w:smallCaps w:val="false"/>
                <w:sz w:val="22"/>
              </w:rPr>
            </w:pPr>
            <w:r>
              <w:rPr>
                <w:rFonts w:ascii="Arial;Helvetica;sans-serif" w:hAnsi="Arial;Helvetica;sans-serif"/>
                <w:b w:val="false"/>
                <w:i w:val="false"/>
                <w:caps w:val="false"/>
                <w:smallCaps w:val="false"/>
                <w:sz w:val="22"/>
              </w:rPr>
              <w:t>wait for arrival of Product at docks and thereby incur demurrage up to the expiration of time stipulated or determined under the charter party (and incur dead freight if a shortfall is not cured eventually); or</w:t>
            </w:r>
          </w:p>
        </w:tc>
      </w:tr>
    </w:tbl>
    <w:p>
      <w:pPr>
        <w:pStyle w:val="TextBody"/>
        <w:bidi w:val="0"/>
        <w:spacing w:before="0" w:after="0"/>
        <w:ind w:left="1368" w:right="0" w:hanging="0"/>
        <w:jc w:val="both"/>
        <w:rPr/>
      </w:pPr>
      <w:r>
        <w:rPr/>
        <w:t>​</w:t>
      </w:r>
    </w:p>
    <w:tbl>
      <w:tblPr>
        <w:tblW w:w="7054" w:type="dxa"/>
        <w:jc w:val="left"/>
        <w:tblInd w:w="0" w:type="dxa"/>
        <w:tblLayout w:type="fixed"/>
        <w:tblCellMar>
          <w:top w:w="0" w:type="dxa"/>
          <w:left w:w="0" w:type="dxa"/>
          <w:bottom w:w="0" w:type="dxa"/>
          <w:right w:w="0" w:type="dxa"/>
        </w:tblCellMar>
      </w:tblPr>
      <w:tblGrid>
        <w:gridCol w:w="23"/>
        <w:gridCol w:w="215"/>
        <w:gridCol w:w="6816"/>
      </w:tblGrid>
      <w:tr>
        <w:trPr/>
        <w:tc>
          <w:tcPr>
            <w:tcW w:w="23"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rFonts w:ascii="Arial;Helvetica;sans-serif" w:hAnsi="Arial;Helvetica;sans-serif"/>
                <w:sz w:val="22"/>
              </w:rPr>
            </w:pPr>
            <w:r>
              <w:rPr>
                <w:rFonts w:ascii="Arial;Helvetica;sans-serif" w:hAnsi="Arial;Helvetica;sans-serif"/>
                <w:sz w:val="22"/>
              </w:rPr>
              <w:t>b)</w:t>
            </w:r>
          </w:p>
        </w:tc>
        <w:tc>
          <w:tcPr>
            <w:tcW w:w="6816" w:type="dxa"/>
            <w:tcBorders/>
            <w:vAlign w:val="center"/>
          </w:tcPr>
          <w:p>
            <w:pPr>
              <w:pStyle w:val="TableContents"/>
              <w:bidi w:val="0"/>
              <w:spacing w:before="0" w:after="283"/>
              <w:jc w:val="left"/>
              <w:rPr>
                <w:rFonts w:ascii="Arial;Helvetica;sans-serif" w:hAnsi="Arial;Helvetica;sans-serif"/>
                <w:b w:val="false"/>
                <w:i w:val="false"/>
                <w:caps w:val="false"/>
                <w:smallCaps w:val="false"/>
                <w:spacing w:val="1"/>
                <w:sz w:val="22"/>
              </w:rPr>
            </w:pPr>
            <w:r>
              <w:rPr>
                <w:rFonts w:ascii="Arial;Helvetica;sans-serif" w:hAnsi="Arial;Helvetica;sans-serif"/>
                <w:b w:val="false"/>
                <w:i w:val="false"/>
                <w:caps w:val="false"/>
                <w:smallCaps w:val="false"/>
                <w:spacing w:val="1"/>
                <w:sz w:val="22"/>
              </w:rPr>
              <w:t>load a portion of a shipment of Product and thereby incur dead freight.</w:t>
            </w:r>
          </w:p>
        </w:tc>
      </w:tr>
    </w:tbl>
    <w:p>
      <w:pPr>
        <w:pStyle w:val="TextBody"/>
        <w:bidi w:val="0"/>
        <w:spacing w:before="0" w:after="0"/>
        <w:ind w:left="1368" w:right="0" w:hanging="0"/>
        <w:jc w:val="left"/>
        <w:rPr>
          <w:rFonts w:ascii="Arial;Helvetica;sans-serif" w:hAnsi="Arial;Helvetica;sans-serif"/>
          <w:sz w:val="22"/>
        </w:rPr>
      </w:pPr>
      <w:r>
        <w:rPr>
          <w:rFonts w:ascii="Arial;Helvetica;sans-serif" w:hAnsi="Arial;Helvetica;sans-serif"/>
          <w:sz w:val="22"/>
        </w:rPr>
        <w:t>In order to facilitate RBT's decision, Buyer shall promptly advise RBT, on request, of the applicable demurrage or dead freight rates.</w:t>
      </w:r>
    </w:p>
    <w:p>
      <w:pPr>
        <w:pStyle w:val="TextBody"/>
        <w:bidi w:val="0"/>
        <w:spacing w:before="0" w:after="0"/>
        <w:ind w:left="1368"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245"/>
        <w:gridCol w:w="9960"/>
      </w:tblGrid>
      <w:tr>
        <w:trPr/>
        <w:tc>
          <w:tcPr>
            <w:tcW w:w="245" w:type="dxa"/>
            <w:tcBorders/>
            <w:vAlign w:val="center"/>
          </w:tcPr>
          <w:p>
            <w:pPr>
              <w:pStyle w:val="TableContents"/>
              <w:bidi w:val="0"/>
              <w:spacing w:before="0" w:after="283"/>
              <w:jc w:val="left"/>
              <w:rPr>
                <w:rFonts w:ascii="Arial;Helvetica;sans-serif" w:hAnsi="Arial;Helvetica;sans-serif"/>
                <w:sz w:val="22"/>
              </w:rPr>
            </w:pPr>
            <w:r>
              <w:rPr>
                <w:rFonts w:ascii="Arial;Helvetica;sans-serif" w:hAnsi="Arial;Helvetica;sans-serif"/>
                <w:sz w:val="22"/>
              </w:rPr>
              <w:t>D.</w:t>
            </w:r>
          </w:p>
        </w:tc>
        <w:tc>
          <w:tcPr>
            <w:tcW w:w="9960" w:type="dxa"/>
            <w:tcBorders/>
            <w:vAlign w:val="center"/>
          </w:tcPr>
          <w:p>
            <w:pPr>
              <w:pStyle w:val="TableContents"/>
              <w:bidi w:val="0"/>
              <w:spacing w:before="0" w:after="283"/>
              <w:jc w:val="left"/>
              <w:rPr>
                <w:rFonts w:ascii="Arial;Helvetica;sans-serif" w:hAnsi="Arial;Helvetica;sans-serif"/>
                <w:b w:val="false"/>
                <w:i w:val="false"/>
                <w:caps w:val="false"/>
                <w:smallCaps w:val="false"/>
                <w:sz w:val="22"/>
              </w:rPr>
            </w:pPr>
            <w:r>
              <w:rPr>
                <w:rFonts w:ascii="Arial;Helvetica;sans-serif" w:hAnsi="Arial;Helvetica;sans-serif"/>
                <w:b w:val="false"/>
                <w:i w:val="false"/>
                <w:caps w:val="false"/>
                <w:smallCaps w:val="false"/>
                <w:sz w:val="22"/>
              </w:rPr>
              <w:t>The word "STEM", as used in this Article VI shall mean the confirmation of availability of sufficient Product for a particular shipment, at Richards Bay Harbour, on a given date or period to be stated when stem is requested and given.</w:t>
            </w:r>
          </w:p>
        </w:tc>
      </w:tr>
    </w:tbl>
    <w:p>
      <w:pPr>
        <w:pStyle w:val="TextBody"/>
        <w:bidi w:val="0"/>
        <w:spacing w:before="0" w:after="0"/>
        <w:ind w:left="720" w:right="0" w:hanging="0"/>
        <w:jc w:val="both"/>
        <w:rPr/>
      </w:pPr>
      <w:r>
        <w:rPr/>
        <w:t>​</w:t>
      </w:r>
    </w:p>
    <w:tbl>
      <w:tblPr>
        <w:tblW w:w="10205" w:type="dxa"/>
        <w:jc w:val="left"/>
        <w:tblInd w:w="0" w:type="dxa"/>
        <w:tblLayout w:type="fixed"/>
        <w:tblCellMar>
          <w:top w:w="0" w:type="dxa"/>
          <w:left w:w="0" w:type="dxa"/>
          <w:bottom w:w="0" w:type="dxa"/>
          <w:right w:w="0" w:type="dxa"/>
        </w:tblCellMar>
      </w:tblPr>
      <w:tblGrid>
        <w:gridCol w:w="230"/>
        <w:gridCol w:w="9975"/>
      </w:tblGrid>
      <w:tr>
        <w:trPr/>
        <w:tc>
          <w:tcPr>
            <w:tcW w:w="230" w:type="dxa"/>
            <w:tcBorders/>
            <w:vAlign w:val="center"/>
          </w:tcPr>
          <w:p>
            <w:pPr>
              <w:pStyle w:val="TableContents"/>
              <w:bidi w:val="0"/>
              <w:spacing w:before="0" w:after="283"/>
              <w:jc w:val="left"/>
              <w:rPr>
                <w:rFonts w:ascii="Arial;Helvetica;sans-serif" w:hAnsi="Arial;Helvetica;sans-serif"/>
                <w:sz w:val="22"/>
              </w:rPr>
            </w:pPr>
            <w:r>
              <w:rPr>
                <w:rFonts w:ascii="Arial;Helvetica;sans-serif" w:hAnsi="Arial;Helvetica;sans-serif"/>
                <w:sz w:val="22"/>
              </w:rPr>
              <w:t>E.</w:t>
            </w:r>
          </w:p>
        </w:tc>
        <w:tc>
          <w:tcPr>
            <w:tcW w:w="9975" w:type="dxa"/>
            <w:tcBorders/>
            <w:vAlign w:val="center"/>
          </w:tcPr>
          <w:p>
            <w:pPr>
              <w:pStyle w:val="TableContents"/>
              <w:bidi w:val="0"/>
              <w:spacing w:before="0" w:after="283"/>
              <w:jc w:val="left"/>
              <w:rPr>
                <w:rFonts w:ascii="Arial;Helvetica;sans-serif" w:hAnsi="Arial;Helvetica;sans-serif"/>
                <w:b w:val="false"/>
                <w:i w:val="false"/>
                <w:caps w:val="false"/>
                <w:smallCaps w:val="false"/>
                <w:sz w:val="22"/>
              </w:rPr>
            </w:pPr>
            <w:r>
              <w:rPr>
                <w:rFonts w:ascii="Arial;Helvetica;sans-serif" w:hAnsi="Arial;Helvetica;sans-serif"/>
                <w:b w:val="false"/>
                <w:i w:val="false"/>
                <w:caps w:val="false"/>
                <w:smallCaps w:val="false"/>
                <w:sz w:val="22"/>
              </w:rPr>
              <w:t>In no event shall RBT be liable for any losses, cost or damages in excess of such demurrage or dead freight rates except as provided for in Article XVI hereof or in the event of non-availability of product as defined in this Article VI.</w:t>
            </w:r>
          </w:p>
        </w:tc>
      </w:tr>
    </w:tbl>
    <w:p>
      <w:pPr>
        <w:pStyle w:val="TextBody"/>
        <w:bidi w:val="0"/>
        <w:spacing w:before="0" w:after="0"/>
        <w:ind w:left="0" w:right="0" w:hanging="0"/>
        <w:jc w:val="both"/>
        <w:rPr/>
      </w:pPr>
      <w:r>
        <w:rPr/>
        <w:t>​</w:t>
      </w:r>
    </w:p>
    <w:p>
      <w:pPr>
        <w:pStyle w:val="TextBody"/>
        <w:bidi w:val="0"/>
        <w:spacing w:before="0" w:after="0"/>
        <w:ind w:left="0" w:right="0" w:hanging="0"/>
        <w:jc w:val="left"/>
        <w:rPr>
          <w:rFonts w:ascii="Arial;Helvetica;sans-serif" w:hAnsi="Arial;Helvetica;sans-serif"/>
          <w:b/>
          <w:spacing w:val="3"/>
          <w:sz w:val="22"/>
        </w:rPr>
      </w:pPr>
      <w:r>
        <w:rPr>
          <w:rFonts w:ascii="Arial;Helvetica;sans-serif" w:hAnsi="Arial;Helvetica;sans-serif"/>
          <w:b/>
          <w:spacing w:val="3"/>
          <w:sz w:val="22"/>
        </w:rPr>
        <w:t>ARTICLE VII. TITLE AND RISK OF LOSS</w:t>
      </w:r>
    </w:p>
    <w:p>
      <w:pPr>
        <w:pStyle w:val="TextBody"/>
        <w:bidi w:val="0"/>
        <w:spacing w:before="0" w:after="0"/>
        <w:ind w:left="0" w:right="0" w:hanging="0"/>
        <w:jc w:val="left"/>
        <w:rPr>
          <w:spacing w:val="3"/>
        </w:rPr>
      </w:pPr>
      <w:r>
        <w:rPr>
          <w:spacing w:val="3"/>
        </w:rPr>
        <w:t>​</w:t>
      </w:r>
    </w:p>
    <w:p>
      <w:pPr>
        <w:pStyle w:val="TextBody"/>
        <w:bidi w:val="0"/>
        <w:spacing w:before="0" w:after="0"/>
        <w:ind w:left="0" w:right="0" w:hanging="0"/>
        <w:jc w:val="both"/>
        <w:rPr>
          <w:rFonts w:ascii="Arial;Helvetica;sans-serif" w:hAnsi="Arial;Helvetica;sans-serif"/>
          <w:sz w:val="22"/>
        </w:rPr>
      </w:pPr>
      <w:r>
        <w:rPr>
          <w:rFonts w:ascii="Arial;Helvetica;sans-serif" w:hAnsi="Arial;Helvetica;sans-serif"/>
          <w:sz w:val="22"/>
        </w:rPr>
        <w:t>Except for Product shipped to the Warehouse or the Silos, for which title and risk of loss shall pass in accordance with Schedule 1, title to and risk of loss in Product shall pass to Buyer upon passing the ship's rail of Buyer's Vessel at the loading dock at the Port of Richards Bay, South Africa. Once the title to and risk of loss in Product has passed to Buyer, RBT shall not be responsible for any losses or damages of any kind and howsoever arising in connection with Product or otherwise, except as expressly provided in this Agreement.</w:t>
      </w:r>
    </w:p>
    <w:p>
      <w:pPr>
        <w:pStyle w:val="TextBody"/>
        <w:bidi w:val="0"/>
        <w:spacing w:before="0" w:after="0"/>
        <w:ind w:left="0" w:right="0" w:hanging="0"/>
        <w:jc w:val="both"/>
        <w:rPr/>
      </w:pPr>
      <w:r>
        <w:rPr/>
        <w:t>​</w:t>
      </w:r>
    </w:p>
    <w:p>
      <w:pPr>
        <w:pStyle w:val="TextBody"/>
        <w:bidi w:val="0"/>
        <w:spacing w:before="0" w:after="0"/>
        <w:ind w:left="0" w:right="0" w:hanging="0"/>
        <w:jc w:val="left"/>
        <w:rPr>
          <w:rFonts w:ascii="Arial;Helvetica;sans-serif" w:hAnsi="Arial;Helvetica;sans-serif"/>
          <w:b/>
          <w:spacing w:val="5"/>
          <w:sz w:val="22"/>
        </w:rPr>
      </w:pPr>
      <w:r>
        <w:rPr>
          <w:rFonts w:ascii="Arial;Helvetica;sans-serif" w:hAnsi="Arial;Helvetica;sans-serif"/>
          <w:b/>
          <w:spacing w:val="5"/>
          <w:sz w:val="22"/>
        </w:rPr>
        <w:t xml:space="preserve">ARTICLE VIII. PAYMENT </w:t>
      </w:r>
    </w:p>
    <w:p>
      <w:pPr>
        <w:pStyle w:val="TextBody"/>
        <w:bidi w:val="0"/>
        <w:spacing w:before="0" w:after="0"/>
        <w:ind w:left="0" w:right="0" w:hanging="0"/>
        <w:jc w:val="left"/>
        <w:rPr>
          <w:spacing w:val="5"/>
        </w:rPr>
      </w:pPr>
      <w:r>
        <w:rPr>
          <w:spacing w:val="5"/>
        </w:rPr>
        <w:t>​</w:t>
      </w:r>
    </w:p>
    <w:p>
      <w:pPr>
        <w:pStyle w:val="TextBody"/>
        <w:bidi w:val="0"/>
        <w:spacing w:before="0" w:after="0"/>
        <w:ind w:left="0" w:right="0" w:hanging="0"/>
        <w:jc w:val="left"/>
        <w:rPr>
          <w:spacing w:val="5"/>
        </w:rPr>
      </w:pPr>
      <w:r>
        <w:rPr>
          <w:spacing w:val="5"/>
        </w:rPr>
        <w:t>​</w:t>
      </w:r>
    </w:p>
    <w:p>
      <w:pPr>
        <w:pStyle w:val="TextBody"/>
        <w:bidi w:val="0"/>
        <w:spacing w:before="0" w:after="0"/>
        <w:ind w:left="0" w:right="0" w:hanging="0"/>
        <w:jc w:val="left"/>
        <w:rPr>
          <w:rFonts w:ascii="Arial;Helvetica;sans-serif" w:hAnsi="Arial;Helvetica;sans-serif"/>
          <w:b/>
          <w:spacing w:val="5"/>
          <w:sz w:val="22"/>
        </w:rPr>
      </w:pPr>
      <w:r>
        <w:rPr>
          <w:rFonts w:ascii="Arial;Helvetica;sans-serif" w:hAnsi="Arial;Helvetica;sans-serif"/>
          <w:b/>
          <w:spacing w:val="5"/>
          <w:sz w:val="22"/>
        </w:rPr>
        <w:t>[Effective through December 31, 2026]</w:t>
      </w:r>
    </w:p>
    <w:p>
      <w:pPr>
        <w:pStyle w:val="TextBody"/>
        <w:bidi w:val="0"/>
        <w:spacing w:before="0" w:after="0"/>
        <w:ind w:left="0" w:right="0" w:hanging="0"/>
        <w:jc w:val="left"/>
        <w:rPr>
          <w:spacing w:val="5"/>
        </w:rPr>
      </w:pPr>
      <w:r>
        <w:rPr>
          <w:spacing w:val="5"/>
        </w:rPr>
        <w:t>​</w:t>
      </w:r>
    </w:p>
    <w:p>
      <w:pPr>
        <w:pStyle w:val="TextBody"/>
        <w:pBdr/>
        <w:bidi w:val="0"/>
        <w:spacing w:before="0" w:after="0"/>
        <w:ind w:left="720" w:right="0" w:hanging="273"/>
        <w:jc w:val="both"/>
        <w:rPr>
          <w:rFonts w:ascii="Arial;Helvetica;sans-serif" w:hAnsi="Arial;Helvetica;sans-serif"/>
          <w:sz w:val="22"/>
        </w:rPr>
      </w:pPr>
      <w:r>
        <w:rPr>
          <w:rFonts w:ascii="Arial;Helvetica;sans-serif" w:hAnsi="Arial;Helvetica;sans-serif"/>
          <w:sz w:val="22"/>
        </w:rPr>
        <w:t>A. PAYMENT FOR PRODUCT SHIPPED TO THE WAREHOUSE (CONSIGNMENT).</w:t>
      </w:r>
    </w:p>
    <w:p>
      <w:pPr>
        <w:pStyle w:val="TextBody"/>
        <w:pBdr/>
        <w:bidi w:val="0"/>
        <w:spacing w:before="0" w:after="0"/>
        <w:ind w:left="720" w:right="0" w:hanging="273"/>
        <w:jc w:val="both"/>
        <w:rPr/>
      </w:pPr>
      <w:r>
        <w:rPr/>
        <w:t>​</w:t>
      </w:r>
    </w:p>
    <w:p>
      <w:pPr>
        <w:pStyle w:val="TextBody"/>
        <w:pBdr/>
        <w:bidi w:val="0"/>
        <w:spacing w:before="0" w:after="0"/>
        <w:ind w:left="720" w:right="0" w:hanging="0"/>
        <w:jc w:val="both"/>
        <w:rPr>
          <w:rFonts w:ascii="Arial;Helvetica;sans-serif" w:hAnsi="Arial;Helvetica;sans-serif"/>
          <w:sz w:val="22"/>
        </w:rPr>
      </w:pPr>
      <w:r>
        <w:rPr>
          <w:rFonts w:ascii="Arial;Helvetica;sans-serif" w:hAnsi="Arial;Helvetica;sans-serif"/>
          <w:sz w:val="22"/>
        </w:rPr>
        <w:t>The following payment terms shall apply to all Product shipped to the Warehouse (as defined in the Consignment Stock Terms attached hereto as Schedule 1 (the “Consignment Terms”)):</w:t>
      </w:r>
    </w:p>
    <w:p>
      <w:pPr>
        <w:pStyle w:val="TextBody"/>
        <w:bidi w:val="0"/>
        <w:spacing w:before="0" w:after="0"/>
        <w:ind w:left="0" w:right="0" w:hanging="0"/>
        <w:jc w:val="center"/>
        <w:rPr>
          <w:rFonts w:ascii="Arial;Helvetica;sans-serif" w:hAnsi="Arial;Helvetica;sans-serif"/>
          <w:caps/>
          <w:sz w:val="20"/>
        </w:rPr>
      </w:pPr>
      <w:r>
        <w:rPr>
          <w:rFonts w:ascii="Arial;Helvetica;sans-serif" w:hAnsi="Arial;Helvetica;sans-serif"/>
          <w:caps/>
          <w:sz w:val="20"/>
        </w:rPr>
        <w:t>4</w:t>
      </w:r>
    </w:p>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pBdr/>
        <w:bidi w:val="0"/>
        <w:spacing w:before="0" w:after="0"/>
        <w:ind w:left="720" w:right="0" w:hanging="273"/>
        <w:jc w:val="both"/>
        <w:rPr/>
      </w:pPr>
      <w:r>
        <w:rPr/>
        <w:t>​</w:t>
      </w:r>
    </w:p>
    <w:tbl>
      <w:tblPr>
        <w:tblW w:w="10205" w:type="dxa"/>
        <w:jc w:val="left"/>
        <w:tblInd w:w="0" w:type="dxa"/>
        <w:tblLayout w:type="fixed"/>
        <w:tblCellMar>
          <w:top w:w="0" w:type="dxa"/>
          <w:left w:w="0" w:type="dxa"/>
          <w:bottom w:w="0" w:type="dxa"/>
          <w:right w:w="0" w:type="dxa"/>
        </w:tblCellMar>
      </w:tblPr>
      <w:tblGrid>
        <w:gridCol w:w="23"/>
        <w:gridCol w:w="176"/>
        <w:gridCol w:w="10006"/>
      </w:tblGrid>
      <w:tr>
        <w:trPr/>
        <w:tc>
          <w:tcPr>
            <w:tcW w:w="23"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rFonts w:ascii="Arial;Helvetica;sans-serif" w:hAnsi="Arial;Helvetica;sans-serif"/>
                <w:sz w:val="22"/>
              </w:rPr>
            </w:pPr>
            <w:r>
              <w:rPr>
                <w:rFonts w:ascii="Arial;Helvetica;sans-serif" w:hAnsi="Arial;Helvetica;sans-serif"/>
                <w:sz w:val="22"/>
              </w:rPr>
              <w:t>1.</w:t>
            </w:r>
          </w:p>
        </w:tc>
        <w:tc>
          <w:tcPr>
            <w:tcW w:w="10006" w:type="dxa"/>
            <w:tcBorders/>
            <w:vAlign w:val="center"/>
          </w:tcPr>
          <w:p>
            <w:pPr>
              <w:pStyle w:val="TableContents"/>
              <w:bidi w:val="0"/>
              <w:spacing w:before="0" w:after="283"/>
              <w:jc w:val="left"/>
              <w:rPr/>
            </w:pPr>
            <w:r>
              <w:rPr>
                <w:rFonts w:ascii="Arial;Helvetica;sans-serif" w:hAnsi="Arial;Helvetica;sans-serif"/>
                <w:b w:val="false"/>
                <w:i w:val="false"/>
                <w:caps w:val="false"/>
                <w:smallCaps w:val="false"/>
                <w:sz w:val="22"/>
                <w:u w:val="single"/>
              </w:rPr>
              <w:t>Regular Invoicing and Payments for Product shipped to the Warehouse</w:t>
            </w:r>
            <w:r>
              <w:rPr>
                <w:rFonts w:ascii="Arial;Helvetica;sans-serif" w:hAnsi="Arial;Helvetica;sans-serif"/>
                <w:b w:val="false"/>
                <w:i w:val="false"/>
                <w:caps w:val="false"/>
                <w:smallCaps w:val="false"/>
                <w:sz w:val="22"/>
              </w:rPr>
              <w:t>.  Upon shipment of Product to the Warehouse, RBT shall supply the following documents:</w:t>
            </w:r>
          </w:p>
        </w:tc>
      </w:tr>
    </w:tbl>
    <w:p>
      <w:pPr>
        <w:pStyle w:val="TextBody"/>
        <w:bidi w:val="0"/>
        <w:spacing w:before="0" w:after="0"/>
        <w:ind w:left="1353" w:right="0" w:hanging="0"/>
        <w:jc w:val="both"/>
        <w:rPr/>
      </w:pPr>
      <w:r>
        <w:rPr/>
        <w:t>​</w:t>
      </w:r>
    </w:p>
    <w:tbl>
      <w:tblPr>
        <w:tblW w:w="5058" w:type="dxa"/>
        <w:jc w:val="left"/>
        <w:tblInd w:w="0" w:type="dxa"/>
        <w:tblLayout w:type="fixed"/>
        <w:tblCellMar>
          <w:top w:w="0" w:type="dxa"/>
          <w:left w:w="0" w:type="dxa"/>
          <w:bottom w:w="0" w:type="dxa"/>
          <w:right w:w="0" w:type="dxa"/>
        </w:tblCellMar>
      </w:tblPr>
      <w:tblGrid>
        <w:gridCol w:w="23"/>
        <w:gridCol w:w="200"/>
        <w:gridCol w:w="4835"/>
      </w:tblGrid>
      <w:tr>
        <w:trPr/>
        <w:tc>
          <w:tcPr>
            <w:tcW w:w="23"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rFonts w:ascii="Arial;Helvetica;sans-serif" w:hAnsi="Arial;Helvetica;sans-serif"/>
                <w:sz w:val="22"/>
              </w:rPr>
            </w:pPr>
            <w:r>
              <w:rPr>
                <w:rFonts w:ascii="Arial;Helvetica;sans-serif" w:hAnsi="Arial;Helvetica;sans-serif"/>
                <w:sz w:val="22"/>
              </w:rPr>
              <w:t>a.</w:t>
            </w:r>
          </w:p>
        </w:tc>
        <w:tc>
          <w:tcPr>
            <w:tcW w:w="4835" w:type="dxa"/>
            <w:tcBorders/>
            <w:vAlign w:val="center"/>
          </w:tcPr>
          <w:p>
            <w:pPr>
              <w:pStyle w:val="TableContents"/>
              <w:bidi w:val="0"/>
              <w:spacing w:before="0" w:after="283"/>
              <w:jc w:val="left"/>
              <w:rPr>
                <w:rFonts w:ascii="Arial;Helvetica;sans-serif" w:hAnsi="Arial;Helvetica;sans-serif"/>
                <w:b w:val="false"/>
                <w:i w:val="false"/>
                <w:caps w:val="false"/>
                <w:smallCaps w:val="false"/>
                <w:sz w:val="22"/>
              </w:rPr>
            </w:pPr>
            <w:r>
              <w:rPr>
                <w:rFonts w:ascii="Arial;Helvetica;sans-serif" w:hAnsi="Arial;Helvetica;sans-serif"/>
                <w:b w:val="false"/>
                <w:i w:val="false"/>
                <w:caps w:val="false"/>
                <w:smallCaps w:val="false"/>
                <w:sz w:val="22"/>
              </w:rPr>
              <w:t>Surveyor's certificate of mass (weight certificate);</w:t>
            </w:r>
          </w:p>
        </w:tc>
      </w:tr>
    </w:tbl>
    <w:tbl>
      <w:tblPr>
        <w:tblW w:w="10205" w:type="dxa"/>
        <w:jc w:val="left"/>
        <w:tblInd w:w="0" w:type="dxa"/>
        <w:tblLayout w:type="fixed"/>
        <w:tblCellMar>
          <w:top w:w="0" w:type="dxa"/>
          <w:left w:w="0" w:type="dxa"/>
          <w:bottom w:w="0" w:type="dxa"/>
          <w:right w:w="0" w:type="dxa"/>
        </w:tblCellMar>
      </w:tblPr>
      <w:tblGrid>
        <w:gridCol w:w="23"/>
        <w:gridCol w:w="200"/>
        <w:gridCol w:w="9982"/>
      </w:tblGrid>
      <w:tr>
        <w:trPr/>
        <w:tc>
          <w:tcPr>
            <w:tcW w:w="23"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rFonts w:ascii="Arial;Helvetica;sans-serif" w:hAnsi="Arial;Helvetica;sans-serif"/>
                <w:sz w:val="22"/>
              </w:rPr>
            </w:pPr>
            <w:r>
              <w:rPr>
                <w:rFonts w:ascii="Arial;Helvetica;sans-serif" w:hAnsi="Arial;Helvetica;sans-serif"/>
                <w:sz w:val="22"/>
              </w:rPr>
              <w:t>b.</w:t>
            </w:r>
          </w:p>
        </w:tc>
        <w:tc>
          <w:tcPr>
            <w:tcW w:w="9982" w:type="dxa"/>
            <w:tcBorders/>
            <w:vAlign w:val="center"/>
          </w:tcPr>
          <w:p>
            <w:pPr>
              <w:pStyle w:val="TableContents"/>
              <w:bidi w:val="0"/>
              <w:spacing w:before="0" w:after="283"/>
              <w:jc w:val="left"/>
              <w:rPr>
                <w:rFonts w:ascii="Arial;Helvetica;sans-serif" w:hAnsi="Arial;Helvetica;sans-serif"/>
                <w:b w:val="false"/>
                <w:i w:val="false"/>
                <w:caps w:val="false"/>
                <w:smallCaps w:val="false"/>
                <w:sz w:val="22"/>
              </w:rPr>
            </w:pPr>
            <w:r>
              <w:rPr>
                <w:rFonts w:ascii="Arial;Helvetica;sans-serif" w:hAnsi="Arial;Helvetica;sans-serif"/>
                <w:b w:val="false"/>
                <w:i w:val="false"/>
                <w:caps w:val="false"/>
                <w:smallCaps w:val="false"/>
                <w:sz w:val="22"/>
              </w:rPr>
              <w:t>Full set of clean onboard ocean bills of lading covering the shipment by the cargo vessel in question, designating "Richards Bay Titanium (Proprietary) Limited" as shipper and Buyer as consignee or any other affiliated company designated by Buyer as consignee; and</w:t>
            </w:r>
          </w:p>
        </w:tc>
      </w:tr>
    </w:tbl>
    <w:tbl>
      <w:tblPr>
        <w:tblW w:w="10205" w:type="dxa"/>
        <w:jc w:val="left"/>
        <w:tblInd w:w="0" w:type="dxa"/>
        <w:tblLayout w:type="fixed"/>
        <w:tblCellMar>
          <w:top w:w="0" w:type="dxa"/>
          <w:left w:w="0" w:type="dxa"/>
          <w:bottom w:w="0" w:type="dxa"/>
          <w:right w:w="0" w:type="dxa"/>
        </w:tblCellMar>
      </w:tblPr>
      <w:tblGrid>
        <w:gridCol w:w="23"/>
        <w:gridCol w:w="200"/>
        <w:gridCol w:w="9982"/>
      </w:tblGrid>
      <w:tr>
        <w:trPr/>
        <w:tc>
          <w:tcPr>
            <w:tcW w:w="23"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rFonts w:ascii="Arial;Helvetica;sans-serif" w:hAnsi="Arial;Helvetica;sans-serif"/>
                <w:sz w:val="22"/>
              </w:rPr>
            </w:pPr>
            <w:r>
              <w:rPr>
                <w:rFonts w:ascii="Arial;Helvetica;sans-serif" w:hAnsi="Arial;Helvetica;sans-serif"/>
                <w:sz w:val="22"/>
              </w:rPr>
              <w:t>c.</w:t>
            </w:r>
          </w:p>
        </w:tc>
        <w:tc>
          <w:tcPr>
            <w:tcW w:w="9982" w:type="dxa"/>
            <w:tcBorders/>
            <w:vAlign w:val="center"/>
          </w:tcPr>
          <w:p>
            <w:pPr>
              <w:pStyle w:val="TableContents"/>
              <w:bidi w:val="0"/>
              <w:spacing w:before="0" w:after="283"/>
              <w:jc w:val="left"/>
              <w:rPr>
                <w:rFonts w:ascii="Arial;Helvetica;sans-serif" w:hAnsi="Arial;Helvetica;sans-serif"/>
                <w:b w:val="false"/>
                <w:i w:val="false"/>
                <w:caps w:val="false"/>
                <w:smallCaps w:val="false"/>
                <w:sz w:val="22"/>
              </w:rPr>
            </w:pPr>
            <w:r>
              <w:rPr>
                <w:rFonts w:ascii="Arial;Helvetica;sans-serif" w:hAnsi="Arial;Helvetica;sans-serif"/>
                <w:b w:val="false"/>
                <w:i w:val="false"/>
                <w:caps w:val="false"/>
                <w:smallCaps w:val="false"/>
                <w:sz w:val="22"/>
              </w:rPr>
              <w:t>Such other documents and papers as may be required to clear Product for shipment from South Africa to the port of destination.</w:t>
            </w:r>
          </w:p>
        </w:tc>
      </w:tr>
    </w:tbl>
    <w:p>
      <w:pPr>
        <w:pStyle w:val="TextBody"/>
        <w:bidi w:val="0"/>
        <w:spacing w:before="0" w:after="0"/>
        <w:ind w:left="0" w:right="0" w:hanging="0"/>
        <w:jc w:val="both"/>
        <w:rPr/>
      </w:pPr>
      <w:r>
        <w:rPr/>
        <w:t>​</w:t>
      </w:r>
    </w:p>
    <w:p>
      <w:pPr>
        <w:pStyle w:val="TextBody"/>
        <w:bidi w:val="0"/>
        <w:spacing w:before="0" w:after="0"/>
        <w:ind w:left="1353" w:right="0" w:hanging="0"/>
        <w:jc w:val="both"/>
        <w:rPr>
          <w:rFonts w:ascii="Arial;Helvetica;sans-serif" w:hAnsi="Arial;Helvetica;sans-serif"/>
          <w:sz w:val="22"/>
        </w:rPr>
      </w:pPr>
      <w:r>
        <w:rPr>
          <w:rFonts w:ascii="Arial;Helvetica;sans-serif" w:hAnsi="Arial;Helvetica;sans-serif"/>
          <w:sz w:val="22"/>
        </w:rPr>
        <w:t>The above-mentioned documents shall be couriered to Buyer or such affiliated company as Buyer shall have designated in accordance with Article XIX. RBT shall accept payment from Buyer or any of Buyer's affiliated companies, but Buyer shall be primarily and separately liable for all sums due under this Agreement.</w:t>
      </w:r>
    </w:p>
    <w:p>
      <w:pPr>
        <w:pStyle w:val="TextBody"/>
        <w:bidi w:val="0"/>
        <w:spacing w:before="0" w:after="0"/>
        <w:ind w:left="1353" w:right="0" w:hanging="0"/>
        <w:jc w:val="both"/>
        <w:rPr/>
      </w:pPr>
      <w:r>
        <w:rPr/>
        <w:t>​</w:t>
      </w:r>
    </w:p>
    <w:tbl>
      <w:tblPr>
        <w:tblW w:w="10205" w:type="dxa"/>
        <w:jc w:val="left"/>
        <w:tblInd w:w="0" w:type="dxa"/>
        <w:tblLayout w:type="fixed"/>
        <w:tblCellMar>
          <w:top w:w="0" w:type="dxa"/>
          <w:left w:w="0" w:type="dxa"/>
          <w:bottom w:w="0" w:type="dxa"/>
          <w:right w:w="0" w:type="dxa"/>
        </w:tblCellMar>
      </w:tblPr>
      <w:tblGrid>
        <w:gridCol w:w="23"/>
        <w:gridCol w:w="156"/>
        <w:gridCol w:w="10026"/>
      </w:tblGrid>
      <w:tr>
        <w:trPr/>
        <w:tc>
          <w:tcPr>
            <w:tcW w:w="23"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rFonts w:ascii="Arial;Helvetica;sans-serif" w:hAnsi="Arial;Helvetica;sans-serif"/>
                <w:sz w:val="22"/>
              </w:rPr>
            </w:pPr>
            <w:r>
              <w:rPr>
                <w:rFonts w:ascii="Arial;Helvetica;sans-serif" w:hAnsi="Arial;Helvetica;sans-serif"/>
                <w:sz w:val="22"/>
              </w:rPr>
              <w:t>2.</w:t>
            </w:r>
          </w:p>
        </w:tc>
        <w:tc>
          <w:tcPr>
            <w:tcW w:w="10026" w:type="dxa"/>
            <w:tcBorders/>
            <w:vAlign w:val="center"/>
          </w:tcPr>
          <w:p>
            <w:pPr>
              <w:pStyle w:val="TableContents"/>
              <w:bidi w:val="0"/>
              <w:spacing w:before="0" w:after="283"/>
              <w:jc w:val="left"/>
              <w:rPr>
                <w:rFonts w:ascii="Arial;Helvetica;sans-serif" w:hAnsi="Arial;Helvetica;sans-serif"/>
                <w:b w:val="false"/>
                <w:i w:val="false"/>
                <w:caps w:val="false"/>
                <w:smallCaps w:val="false"/>
                <w:sz w:val="22"/>
              </w:rPr>
            </w:pPr>
            <w:r>
              <w:rPr>
                <w:rFonts w:ascii="Arial;Helvetica;sans-serif" w:hAnsi="Arial;Helvetica;sans-serif"/>
                <w:b w:val="false"/>
                <w:i w:val="false"/>
                <w:caps w:val="false"/>
                <w:smallCaps w:val="false"/>
                <w:sz w:val="22"/>
              </w:rPr>
              <w:t>On receipt of Buyer’s declaration Product withdrawn from the Warehouse on the first working day after the end of the month, RBT shall issue a commercial invoice covering the volume of Product withdrawn during the month, based on the assumption that the TiO2 content of the Product is [***], with the invoice date being the first day of the month.</w:t>
            </w:r>
          </w:p>
        </w:tc>
      </w:tr>
    </w:tbl>
    <w:p>
      <w:pPr>
        <w:pStyle w:val="TextBody"/>
        <w:bidi w:val="0"/>
        <w:spacing w:before="0" w:after="0"/>
        <w:ind w:left="1353" w:right="0" w:hanging="0"/>
        <w:jc w:val="both"/>
        <w:rPr/>
      </w:pPr>
      <w:r>
        <w:rPr/>
        <w:t>​</w:t>
      </w:r>
    </w:p>
    <w:tbl>
      <w:tblPr>
        <w:tblW w:w="10205" w:type="dxa"/>
        <w:jc w:val="left"/>
        <w:tblInd w:w="0" w:type="dxa"/>
        <w:tblLayout w:type="fixed"/>
        <w:tblCellMar>
          <w:top w:w="0" w:type="dxa"/>
          <w:left w:w="0" w:type="dxa"/>
          <w:bottom w:w="0" w:type="dxa"/>
          <w:right w:w="0" w:type="dxa"/>
        </w:tblCellMar>
      </w:tblPr>
      <w:tblGrid>
        <w:gridCol w:w="23"/>
        <w:gridCol w:w="148"/>
        <w:gridCol w:w="10034"/>
      </w:tblGrid>
      <w:tr>
        <w:trPr/>
        <w:tc>
          <w:tcPr>
            <w:tcW w:w="23"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rFonts w:ascii="Arial;Helvetica;sans-serif" w:hAnsi="Arial;Helvetica;sans-serif"/>
                <w:sz w:val="22"/>
              </w:rPr>
            </w:pPr>
            <w:r>
              <w:rPr>
                <w:rFonts w:ascii="Arial;Helvetica;sans-serif" w:hAnsi="Arial;Helvetica;sans-serif"/>
                <w:sz w:val="22"/>
              </w:rPr>
              <w:t>3.</w:t>
            </w:r>
          </w:p>
        </w:tc>
        <w:tc>
          <w:tcPr>
            <w:tcW w:w="10034" w:type="dxa"/>
            <w:tcBorders/>
            <w:vAlign w:val="center"/>
          </w:tcPr>
          <w:p>
            <w:pPr>
              <w:pStyle w:val="TableContents"/>
              <w:bidi w:val="0"/>
              <w:spacing w:before="0" w:after="283"/>
              <w:jc w:val="left"/>
              <w:rPr>
                <w:rFonts w:ascii="Arial;Helvetica;sans-serif" w:hAnsi="Arial;Helvetica;sans-serif"/>
                <w:b w:val="false"/>
                <w:i w:val="false"/>
                <w:caps w:val="false"/>
                <w:smallCaps w:val="false"/>
                <w:sz w:val="22"/>
              </w:rPr>
            </w:pPr>
            <w:r>
              <w:rPr>
                <w:rFonts w:ascii="Arial;Helvetica;sans-serif" w:hAnsi="Arial;Helvetica;sans-serif"/>
                <w:b w:val="false"/>
                <w:i w:val="false"/>
                <w:caps w:val="false"/>
                <w:smallCaps w:val="false"/>
                <w:sz w:val="22"/>
              </w:rPr>
              <w:t>Unless otherwise agreed, payment for the Product shall be made by Buyer or a Related Entity in U.S. dollars by telegraphic transfer to RBT, to such the account identified in clause B.1. below within [***] of date of Seller’s invoice in respect of the Buyer’s usage declaration. Seller shall make its best efforts to complete the analysis of the Official Sample of a shipment prior to arrival of such shipment at the Consignment Stock Area (as defined in the Consignment Terms). Adjustments for TiO2 content of Product sold under the consignment arrangement as defined in the Agreement, shall occur on a first in first out basis and be included in Seller’s commercial invoice.</w:t>
            </w:r>
          </w:p>
        </w:tc>
      </w:tr>
    </w:tbl>
    <w:p>
      <w:pPr>
        <w:pStyle w:val="TextBody"/>
        <w:bidi w:val="0"/>
        <w:spacing w:before="0" w:after="0"/>
        <w:ind w:left="72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23"/>
        <w:gridCol w:w="168"/>
        <w:gridCol w:w="10014"/>
      </w:tblGrid>
      <w:tr>
        <w:trPr/>
        <w:tc>
          <w:tcPr>
            <w:tcW w:w="23"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rFonts w:ascii="Arial;Helvetica;sans-serif" w:hAnsi="Arial;Helvetica;sans-serif"/>
                <w:sz w:val="22"/>
              </w:rPr>
            </w:pPr>
            <w:r>
              <w:rPr>
                <w:rFonts w:ascii="Arial;Helvetica;sans-serif" w:hAnsi="Arial;Helvetica;sans-serif"/>
                <w:sz w:val="22"/>
              </w:rPr>
              <w:t>4.</w:t>
            </w:r>
          </w:p>
        </w:tc>
        <w:tc>
          <w:tcPr>
            <w:tcW w:w="10014" w:type="dxa"/>
            <w:tcBorders/>
            <w:vAlign w:val="center"/>
          </w:tcPr>
          <w:p>
            <w:pPr>
              <w:pStyle w:val="TableContents"/>
              <w:bidi w:val="0"/>
              <w:spacing w:before="0" w:after="283"/>
              <w:jc w:val="left"/>
              <w:rPr>
                <w:rFonts w:ascii="Arial;Helvetica;sans-serif" w:hAnsi="Arial;Helvetica;sans-serif"/>
                <w:b w:val="false"/>
                <w:i w:val="false"/>
                <w:caps w:val="false"/>
                <w:smallCaps w:val="false"/>
                <w:sz w:val="22"/>
              </w:rPr>
            </w:pPr>
            <w:r>
              <w:rPr>
                <w:rFonts w:ascii="Arial;Helvetica;sans-serif" w:hAnsi="Arial;Helvetica;sans-serif"/>
                <w:b w:val="false"/>
                <w:i w:val="false"/>
                <w:caps w:val="false"/>
                <w:smallCaps w:val="false"/>
                <w:sz w:val="22"/>
              </w:rPr>
              <w:t>RBT shall accept payment from Buyer or any of Buyer’s Related Entity, but Buyer shall remain primarily and separately liable for all sums due under this Agreement that are not paid by such Related Entities.</w:t>
            </w:r>
          </w:p>
        </w:tc>
      </w:tr>
    </w:tbl>
    <w:p>
      <w:pPr>
        <w:pStyle w:val="TextBody"/>
        <w:pBdr/>
        <w:bidi w:val="0"/>
        <w:spacing w:before="0" w:after="0"/>
        <w:ind w:left="720" w:right="0" w:hanging="273"/>
        <w:jc w:val="both"/>
        <w:rPr/>
      </w:pPr>
      <w:r>
        <w:rPr/>
        <w:t>​</w:t>
      </w:r>
    </w:p>
    <w:tbl>
      <w:tblPr>
        <w:tblW w:w="9513" w:type="dxa"/>
        <w:jc w:val="left"/>
        <w:tblInd w:w="0" w:type="dxa"/>
        <w:tblLayout w:type="fixed"/>
        <w:tblCellMar>
          <w:top w:w="0" w:type="dxa"/>
          <w:left w:w="0" w:type="dxa"/>
          <w:bottom w:w="0" w:type="dxa"/>
          <w:right w:w="0" w:type="dxa"/>
        </w:tblCellMar>
      </w:tblPr>
      <w:tblGrid>
        <w:gridCol w:w="23"/>
        <w:gridCol w:w="230"/>
        <w:gridCol w:w="9260"/>
      </w:tblGrid>
      <w:tr>
        <w:trPr/>
        <w:tc>
          <w:tcPr>
            <w:tcW w:w="23"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0"/>
              <w:jc w:val="both"/>
              <w:rPr>
                <w:rFonts w:ascii="Arial;Helvetica;sans-serif" w:hAnsi="Arial;Helvetica;sans-serif"/>
                <w:sz w:val="22"/>
              </w:rPr>
            </w:pPr>
            <w:r>
              <w:rPr>
                <w:rFonts w:ascii="Arial;Helvetica;sans-serif" w:hAnsi="Arial;Helvetica;sans-serif"/>
                <w:sz w:val="22"/>
              </w:rPr>
              <w:t>B.</w:t>
            </w:r>
          </w:p>
        </w:tc>
        <w:tc>
          <w:tcPr>
            <w:tcW w:w="9260" w:type="dxa"/>
            <w:tcBorders/>
            <w:vAlign w:val="center"/>
          </w:tcPr>
          <w:p>
            <w:pPr>
              <w:pStyle w:val="TableContents"/>
              <w:bidi w:val="0"/>
              <w:spacing w:before="0" w:after="0"/>
              <w:jc w:val="both"/>
              <w:rPr>
                <w:rFonts w:ascii="Arial;Helvetica;sans-serif" w:hAnsi="Arial;Helvetica;sans-serif"/>
                <w:sz w:val="22"/>
              </w:rPr>
            </w:pPr>
            <w:r>
              <w:rPr>
                <w:rFonts w:ascii="Arial;Helvetica;sans-serif" w:hAnsi="Arial;Helvetica;sans-serif"/>
                <w:sz w:val="22"/>
              </w:rPr>
              <w:t>PAYMENT FOR PRODUCT SHIPPED TO LOCATIONS OTHER THAN THE WAREHOUSE.</w:t>
            </w:r>
          </w:p>
        </w:tc>
      </w:tr>
    </w:tbl>
    <w:p>
      <w:pPr>
        <w:pStyle w:val="TextBody"/>
        <w:pBdr/>
        <w:bidi w:val="0"/>
        <w:spacing w:before="0" w:after="0"/>
        <w:ind w:left="720" w:right="0" w:hanging="273"/>
        <w:jc w:val="both"/>
        <w:rPr/>
      </w:pPr>
      <w:r>
        <w:rPr/>
        <w:t>​</w:t>
      </w:r>
    </w:p>
    <w:p>
      <w:pPr>
        <w:pStyle w:val="TextBody"/>
        <w:pBdr/>
        <w:bidi w:val="0"/>
        <w:spacing w:before="0" w:after="0"/>
        <w:ind w:left="720" w:right="0" w:hanging="0"/>
        <w:jc w:val="both"/>
        <w:rPr>
          <w:rFonts w:ascii="Arial;Helvetica;sans-serif" w:hAnsi="Arial;Helvetica;sans-serif"/>
          <w:sz w:val="22"/>
        </w:rPr>
      </w:pPr>
      <w:r>
        <w:rPr>
          <w:rFonts w:ascii="Arial;Helvetica;sans-serif" w:hAnsi="Arial;Helvetica;sans-serif"/>
          <w:sz w:val="22"/>
        </w:rPr>
        <w:t>The following payment terms shall apply to all Product shipped to locations other than the Warehouse:</w:t>
      </w:r>
    </w:p>
    <w:p>
      <w:pPr>
        <w:pStyle w:val="TextBody"/>
        <w:pBdr/>
        <w:bidi w:val="0"/>
        <w:spacing w:before="0" w:after="0"/>
        <w:ind w:left="720" w:right="0" w:hanging="273"/>
        <w:jc w:val="both"/>
        <w:rPr/>
      </w:pPr>
      <w:r>
        <w:rPr/>
        <w:t>​</w:t>
      </w:r>
    </w:p>
    <w:tbl>
      <w:tblPr>
        <w:tblW w:w="10205" w:type="dxa"/>
        <w:jc w:val="left"/>
        <w:tblInd w:w="0" w:type="dxa"/>
        <w:tblLayout w:type="fixed"/>
        <w:tblCellMar>
          <w:top w:w="0" w:type="dxa"/>
          <w:left w:w="0" w:type="dxa"/>
          <w:bottom w:w="0" w:type="dxa"/>
          <w:right w:w="0" w:type="dxa"/>
        </w:tblCellMar>
      </w:tblPr>
      <w:tblGrid>
        <w:gridCol w:w="23"/>
        <w:gridCol w:w="157"/>
        <w:gridCol w:w="10025"/>
      </w:tblGrid>
      <w:tr>
        <w:trPr/>
        <w:tc>
          <w:tcPr>
            <w:tcW w:w="23"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rFonts w:ascii="Arial;Helvetica;sans-serif" w:hAnsi="Arial;Helvetica;sans-serif"/>
                <w:sz w:val="22"/>
              </w:rPr>
            </w:pPr>
            <w:r>
              <w:rPr>
                <w:rFonts w:ascii="Arial;Helvetica;sans-serif" w:hAnsi="Arial;Helvetica;sans-serif"/>
                <w:sz w:val="22"/>
              </w:rPr>
              <w:t>1.</w:t>
            </w:r>
          </w:p>
        </w:tc>
        <w:tc>
          <w:tcPr>
            <w:tcW w:w="10025" w:type="dxa"/>
            <w:tcBorders/>
            <w:vAlign w:val="center"/>
          </w:tcPr>
          <w:p>
            <w:pPr>
              <w:pStyle w:val="TableContents"/>
              <w:bidi w:val="0"/>
              <w:spacing w:before="0" w:after="283"/>
              <w:jc w:val="left"/>
              <w:rPr>
                <w:rFonts w:ascii="Arial;Helvetica;sans-serif" w:hAnsi="Arial;Helvetica;sans-serif"/>
                <w:b w:val="false"/>
                <w:i w:val="false"/>
                <w:caps w:val="false"/>
                <w:smallCaps w:val="false"/>
                <w:sz w:val="22"/>
              </w:rPr>
            </w:pPr>
            <w:r>
              <w:rPr>
                <w:rFonts w:ascii="Arial;Helvetica;sans-serif" w:hAnsi="Arial;Helvetica;sans-serif"/>
                <w:b w:val="false"/>
                <w:i w:val="false"/>
                <w:caps w:val="false"/>
                <w:smallCaps w:val="false"/>
                <w:sz w:val="22"/>
              </w:rPr>
              <w:t>Regular Payments. Unless otherwise agreed, payment in U.S. dollars shall be made by Buyer by telegraphic transfer to RBT's account #[***], naming Richard Bay Titanium as beneficiary, or such other account as RBT shall notify Buyer, within [***] of the Bill of Lading date. RBT shall supply the following documents:</w:t>
            </w:r>
          </w:p>
        </w:tc>
      </w:tr>
    </w:tbl>
    <w:p>
      <w:pPr>
        <w:pStyle w:val="TextBody"/>
        <w:pBdr/>
        <w:bidi w:val="0"/>
        <w:spacing w:before="0" w:after="0"/>
        <w:ind w:left="720" w:right="0" w:hanging="273"/>
        <w:jc w:val="both"/>
        <w:rPr/>
      </w:pPr>
      <w:r>
        <w:rPr/>
        <w:t>​</w:t>
      </w:r>
    </w:p>
    <w:tbl>
      <w:tblPr>
        <w:tblW w:w="10205" w:type="dxa"/>
        <w:jc w:val="left"/>
        <w:tblInd w:w="0" w:type="dxa"/>
        <w:tblLayout w:type="fixed"/>
        <w:tblCellMar>
          <w:top w:w="0" w:type="dxa"/>
          <w:left w:w="0" w:type="dxa"/>
          <w:bottom w:w="0" w:type="dxa"/>
          <w:right w:w="0" w:type="dxa"/>
        </w:tblCellMar>
      </w:tblPr>
      <w:tblGrid>
        <w:gridCol w:w="23"/>
        <w:gridCol w:w="200"/>
        <w:gridCol w:w="9982"/>
      </w:tblGrid>
      <w:tr>
        <w:trPr/>
        <w:tc>
          <w:tcPr>
            <w:tcW w:w="23"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rFonts w:ascii="Arial;Helvetica;sans-serif" w:hAnsi="Arial;Helvetica;sans-serif"/>
                <w:sz w:val="22"/>
              </w:rPr>
            </w:pPr>
            <w:r>
              <w:rPr>
                <w:rFonts w:ascii="Arial;Helvetica;sans-serif" w:hAnsi="Arial;Helvetica;sans-serif"/>
                <w:sz w:val="22"/>
              </w:rPr>
              <w:t>a.</w:t>
            </w:r>
          </w:p>
        </w:tc>
        <w:tc>
          <w:tcPr>
            <w:tcW w:w="9982" w:type="dxa"/>
            <w:tcBorders/>
            <w:vAlign w:val="center"/>
          </w:tcPr>
          <w:p>
            <w:pPr>
              <w:pStyle w:val="TableContents"/>
              <w:bidi w:val="0"/>
              <w:spacing w:before="0" w:after="283"/>
              <w:jc w:val="left"/>
              <w:rPr>
                <w:rFonts w:ascii="Arial;Helvetica;sans-serif" w:hAnsi="Arial;Helvetica;sans-serif"/>
                <w:b w:val="false"/>
                <w:i w:val="false"/>
                <w:caps w:val="false"/>
                <w:smallCaps w:val="false"/>
                <w:sz w:val="22"/>
              </w:rPr>
            </w:pPr>
            <w:r>
              <w:rPr>
                <w:rFonts w:ascii="Arial;Helvetica;sans-serif" w:hAnsi="Arial;Helvetica;sans-serif"/>
                <w:b w:val="false"/>
                <w:i w:val="false"/>
                <w:caps w:val="false"/>
                <w:smallCaps w:val="false"/>
                <w:sz w:val="22"/>
              </w:rPr>
              <w:t>RBT's commercial invoice covering the shipment, based on the assumption that the Ti02 content of Product is [***]%;</w:t>
            </w:r>
          </w:p>
        </w:tc>
      </w:tr>
    </w:tbl>
    <w:tbl>
      <w:tblPr>
        <w:tblW w:w="5058" w:type="dxa"/>
        <w:jc w:val="left"/>
        <w:tblInd w:w="0" w:type="dxa"/>
        <w:tblLayout w:type="fixed"/>
        <w:tblCellMar>
          <w:top w:w="0" w:type="dxa"/>
          <w:left w:w="0" w:type="dxa"/>
          <w:bottom w:w="0" w:type="dxa"/>
          <w:right w:w="0" w:type="dxa"/>
        </w:tblCellMar>
      </w:tblPr>
      <w:tblGrid>
        <w:gridCol w:w="23"/>
        <w:gridCol w:w="200"/>
        <w:gridCol w:w="4835"/>
      </w:tblGrid>
      <w:tr>
        <w:trPr/>
        <w:tc>
          <w:tcPr>
            <w:tcW w:w="23"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rFonts w:ascii="Arial;Helvetica;sans-serif" w:hAnsi="Arial;Helvetica;sans-serif"/>
                <w:sz w:val="22"/>
              </w:rPr>
            </w:pPr>
            <w:r>
              <w:rPr>
                <w:rFonts w:ascii="Arial;Helvetica;sans-serif" w:hAnsi="Arial;Helvetica;sans-serif"/>
                <w:sz w:val="22"/>
              </w:rPr>
              <w:t>b.</w:t>
            </w:r>
          </w:p>
        </w:tc>
        <w:tc>
          <w:tcPr>
            <w:tcW w:w="4835" w:type="dxa"/>
            <w:tcBorders/>
            <w:vAlign w:val="center"/>
          </w:tcPr>
          <w:p>
            <w:pPr>
              <w:pStyle w:val="TableContents"/>
              <w:bidi w:val="0"/>
              <w:spacing w:before="0" w:after="283"/>
              <w:jc w:val="left"/>
              <w:rPr>
                <w:rFonts w:ascii="Arial;Helvetica;sans-serif" w:hAnsi="Arial;Helvetica;sans-serif"/>
                <w:b w:val="false"/>
                <w:i w:val="false"/>
                <w:caps w:val="false"/>
                <w:smallCaps w:val="false"/>
                <w:sz w:val="22"/>
              </w:rPr>
            </w:pPr>
            <w:r>
              <w:rPr>
                <w:rFonts w:ascii="Arial;Helvetica;sans-serif" w:hAnsi="Arial;Helvetica;sans-serif"/>
                <w:b w:val="false"/>
                <w:i w:val="false"/>
                <w:caps w:val="false"/>
                <w:smallCaps w:val="false"/>
                <w:sz w:val="22"/>
              </w:rPr>
              <w:t>Surveyor's certificate of mass (weight certificate);</w:t>
            </w:r>
          </w:p>
        </w:tc>
      </w:tr>
    </w:tbl>
    <w:tbl>
      <w:tblPr>
        <w:tblW w:w="10205" w:type="dxa"/>
        <w:jc w:val="left"/>
        <w:tblInd w:w="0" w:type="dxa"/>
        <w:tblLayout w:type="fixed"/>
        <w:tblCellMar>
          <w:top w:w="0" w:type="dxa"/>
          <w:left w:w="0" w:type="dxa"/>
          <w:bottom w:w="0" w:type="dxa"/>
          <w:right w:w="0" w:type="dxa"/>
        </w:tblCellMar>
      </w:tblPr>
      <w:tblGrid>
        <w:gridCol w:w="23"/>
        <w:gridCol w:w="200"/>
        <w:gridCol w:w="9982"/>
      </w:tblGrid>
      <w:tr>
        <w:trPr/>
        <w:tc>
          <w:tcPr>
            <w:tcW w:w="23"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rFonts w:ascii="Arial;Helvetica;sans-serif" w:hAnsi="Arial;Helvetica;sans-serif"/>
                <w:sz w:val="22"/>
              </w:rPr>
            </w:pPr>
            <w:r>
              <w:rPr>
                <w:rFonts w:ascii="Arial;Helvetica;sans-serif" w:hAnsi="Arial;Helvetica;sans-serif"/>
                <w:sz w:val="22"/>
              </w:rPr>
              <w:t>c.</w:t>
            </w:r>
          </w:p>
        </w:tc>
        <w:tc>
          <w:tcPr>
            <w:tcW w:w="9982" w:type="dxa"/>
            <w:tcBorders/>
            <w:vAlign w:val="center"/>
          </w:tcPr>
          <w:p>
            <w:pPr>
              <w:pStyle w:val="TableContents"/>
              <w:bidi w:val="0"/>
              <w:spacing w:before="0" w:after="283"/>
              <w:jc w:val="left"/>
              <w:rPr>
                <w:rFonts w:ascii="Arial;Helvetica;sans-serif" w:hAnsi="Arial;Helvetica;sans-serif"/>
                <w:b w:val="false"/>
                <w:i w:val="false"/>
                <w:caps w:val="false"/>
                <w:smallCaps w:val="false"/>
                <w:sz w:val="22"/>
              </w:rPr>
            </w:pPr>
            <w:r>
              <w:rPr>
                <w:rFonts w:ascii="Arial;Helvetica;sans-serif" w:hAnsi="Arial;Helvetica;sans-serif"/>
                <w:b w:val="false"/>
                <w:i w:val="false"/>
                <w:caps w:val="false"/>
                <w:smallCaps w:val="false"/>
                <w:sz w:val="22"/>
              </w:rPr>
              <w:t xml:space="preserve">Full set of clean onboard ocean bills of lading covering the shipment by the cargo vessel in question, designating "Richards </w:t>
            </w:r>
          </w:p>
        </w:tc>
      </w:tr>
    </w:tbl>
    <w:p>
      <w:pPr>
        <w:pStyle w:val="TextBody"/>
        <w:bidi w:val="0"/>
        <w:spacing w:before="0" w:after="0"/>
        <w:ind w:left="0" w:right="0" w:hanging="0"/>
        <w:jc w:val="center"/>
        <w:rPr>
          <w:rFonts w:ascii="Arial;Helvetica;sans-serif" w:hAnsi="Arial;Helvetica;sans-serif"/>
          <w:caps/>
          <w:sz w:val="20"/>
        </w:rPr>
      </w:pPr>
      <w:r>
        <w:rPr>
          <w:rFonts w:ascii="Arial;Helvetica;sans-serif" w:hAnsi="Arial;Helvetica;sans-serif"/>
          <w:caps/>
          <w:sz w:val="20"/>
        </w:rPr>
        <w:t>5</w:t>
      </w:r>
    </w:p>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tbl>
      <w:tblPr>
        <w:tblW w:w="10205" w:type="dxa"/>
        <w:jc w:val="left"/>
        <w:tblInd w:w="0" w:type="dxa"/>
        <w:tblLayout w:type="fixed"/>
        <w:tblCellMar>
          <w:top w:w="0" w:type="dxa"/>
          <w:left w:w="0" w:type="dxa"/>
          <w:bottom w:w="0" w:type="dxa"/>
          <w:right w:w="0" w:type="dxa"/>
        </w:tblCellMar>
      </w:tblPr>
      <w:tblGrid>
        <w:gridCol w:w="23"/>
        <w:gridCol w:w="23"/>
        <w:gridCol w:w="10159"/>
      </w:tblGrid>
      <w:tr>
        <w:trPr/>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10159" w:type="dxa"/>
            <w:tcBorders/>
            <w:vAlign w:val="center"/>
          </w:tcPr>
          <w:p>
            <w:pPr>
              <w:pStyle w:val="TableContents"/>
              <w:bidi w:val="0"/>
              <w:spacing w:before="0" w:after="283"/>
              <w:jc w:val="left"/>
              <w:rPr>
                <w:rFonts w:ascii="Arial;Helvetica;sans-serif" w:hAnsi="Arial;Helvetica;sans-serif"/>
                <w:b w:val="false"/>
                <w:i w:val="false"/>
                <w:caps w:val="false"/>
                <w:smallCaps w:val="false"/>
                <w:sz w:val="22"/>
              </w:rPr>
            </w:pPr>
            <w:r>
              <w:rPr>
                <w:rFonts w:ascii="Arial;Helvetica;sans-serif" w:hAnsi="Arial;Helvetica;sans-serif"/>
                <w:b w:val="false"/>
                <w:i w:val="false"/>
                <w:caps w:val="false"/>
                <w:smallCaps w:val="false"/>
                <w:sz w:val="22"/>
              </w:rPr>
              <w:t>Bay Titanium (Proprietary) Limited" as shipper and Buyer as consignee or any other affiliated company designated by Buyer as consignee; and</w:t>
            </w:r>
          </w:p>
        </w:tc>
      </w:tr>
    </w:tbl>
    <w:tbl>
      <w:tblPr>
        <w:tblW w:w="10205" w:type="dxa"/>
        <w:jc w:val="left"/>
        <w:tblInd w:w="0" w:type="dxa"/>
        <w:tblLayout w:type="fixed"/>
        <w:tblCellMar>
          <w:top w:w="0" w:type="dxa"/>
          <w:left w:w="0" w:type="dxa"/>
          <w:bottom w:w="0" w:type="dxa"/>
          <w:right w:w="0" w:type="dxa"/>
        </w:tblCellMar>
      </w:tblPr>
      <w:tblGrid>
        <w:gridCol w:w="23"/>
        <w:gridCol w:w="200"/>
        <w:gridCol w:w="9982"/>
      </w:tblGrid>
      <w:tr>
        <w:trPr/>
        <w:tc>
          <w:tcPr>
            <w:tcW w:w="23"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rFonts w:ascii="Arial;Helvetica;sans-serif" w:hAnsi="Arial;Helvetica;sans-serif"/>
                <w:sz w:val="22"/>
              </w:rPr>
            </w:pPr>
            <w:r>
              <w:rPr>
                <w:rFonts w:ascii="Arial;Helvetica;sans-serif" w:hAnsi="Arial;Helvetica;sans-serif"/>
                <w:sz w:val="22"/>
              </w:rPr>
              <w:t>d.</w:t>
            </w:r>
          </w:p>
        </w:tc>
        <w:tc>
          <w:tcPr>
            <w:tcW w:w="9982" w:type="dxa"/>
            <w:tcBorders/>
            <w:vAlign w:val="center"/>
          </w:tcPr>
          <w:p>
            <w:pPr>
              <w:pStyle w:val="TableContents"/>
              <w:bidi w:val="0"/>
              <w:spacing w:before="0" w:after="283"/>
              <w:jc w:val="left"/>
              <w:rPr>
                <w:rFonts w:ascii="Arial;Helvetica;sans-serif" w:hAnsi="Arial;Helvetica;sans-serif"/>
                <w:b w:val="false"/>
                <w:i w:val="false"/>
                <w:caps w:val="false"/>
                <w:smallCaps w:val="false"/>
                <w:sz w:val="22"/>
              </w:rPr>
            </w:pPr>
            <w:r>
              <w:rPr>
                <w:rFonts w:ascii="Arial;Helvetica;sans-serif" w:hAnsi="Arial;Helvetica;sans-serif"/>
                <w:b w:val="false"/>
                <w:i w:val="false"/>
                <w:caps w:val="false"/>
                <w:smallCaps w:val="false"/>
                <w:sz w:val="22"/>
              </w:rPr>
              <w:t>Such other documents and papers as may be required to clear Product for shipment from South Africa to the port of destination.</w:t>
            </w:r>
          </w:p>
        </w:tc>
      </w:tr>
    </w:tbl>
    <w:p>
      <w:pPr>
        <w:pStyle w:val="TextBody"/>
        <w:bidi w:val="0"/>
        <w:spacing w:before="0" w:after="0"/>
        <w:ind w:left="2880" w:right="0" w:hanging="0"/>
        <w:jc w:val="both"/>
        <w:rPr/>
      </w:pPr>
      <w:r>
        <w:rPr/>
        <w:t>​</w:t>
      </w:r>
    </w:p>
    <w:p>
      <w:pPr>
        <w:pStyle w:val="TextBody"/>
        <w:bidi w:val="0"/>
        <w:spacing w:before="0" w:after="0"/>
        <w:ind w:left="1440" w:right="0" w:hanging="0"/>
        <w:jc w:val="both"/>
        <w:rPr>
          <w:rFonts w:ascii="Arial;Helvetica;sans-serif" w:hAnsi="Arial;Helvetica;sans-serif"/>
          <w:sz w:val="22"/>
        </w:rPr>
      </w:pPr>
      <w:r>
        <w:rPr>
          <w:rFonts w:ascii="Arial;Helvetica;sans-serif" w:hAnsi="Arial;Helvetica;sans-serif"/>
          <w:sz w:val="22"/>
        </w:rPr>
        <w:t>The above mentioned documents shall be couriered to Buyer or such affiliated company as Buyer shall have designated in accordance with Article XIX. RBT shall accept payment from Buyer or any of Buyer's affiliated companies, but Buyer shall be primarily and separately liable for all sums due under this Agreement.</w:t>
      </w:r>
    </w:p>
    <w:p>
      <w:pPr>
        <w:pStyle w:val="TextBody"/>
        <w:bidi w:val="0"/>
        <w:spacing w:before="0" w:after="0"/>
        <w:ind w:left="0" w:right="0" w:hanging="0"/>
        <w:jc w:val="both"/>
        <w:rPr/>
      </w:pPr>
      <w:r>
        <w:rPr/>
        <w:t>​</w:t>
      </w:r>
    </w:p>
    <w:tbl>
      <w:tblPr>
        <w:tblW w:w="10205" w:type="dxa"/>
        <w:jc w:val="left"/>
        <w:tblInd w:w="0" w:type="dxa"/>
        <w:tblLayout w:type="fixed"/>
        <w:tblCellMar>
          <w:top w:w="0" w:type="dxa"/>
          <w:left w:w="0" w:type="dxa"/>
          <w:bottom w:w="0" w:type="dxa"/>
          <w:right w:w="0" w:type="dxa"/>
        </w:tblCellMar>
      </w:tblPr>
      <w:tblGrid>
        <w:gridCol w:w="23"/>
        <w:gridCol w:w="149"/>
        <w:gridCol w:w="10033"/>
      </w:tblGrid>
      <w:tr>
        <w:trPr/>
        <w:tc>
          <w:tcPr>
            <w:tcW w:w="23"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rFonts w:ascii="Arial;Helvetica;sans-serif" w:hAnsi="Arial;Helvetica;sans-serif"/>
                <w:sz w:val="22"/>
              </w:rPr>
            </w:pPr>
            <w:r>
              <w:rPr>
                <w:rFonts w:ascii="Arial;Helvetica;sans-serif" w:hAnsi="Arial;Helvetica;sans-serif"/>
                <w:sz w:val="22"/>
              </w:rPr>
              <w:t>2.</w:t>
            </w:r>
          </w:p>
        </w:tc>
        <w:tc>
          <w:tcPr>
            <w:tcW w:w="10033" w:type="dxa"/>
            <w:tcBorders/>
            <w:vAlign w:val="center"/>
          </w:tcPr>
          <w:p>
            <w:pPr>
              <w:pStyle w:val="TableContents"/>
              <w:bidi w:val="0"/>
              <w:spacing w:before="0" w:after="283"/>
              <w:jc w:val="left"/>
              <w:rPr>
                <w:rFonts w:ascii="Arial;Helvetica;sans-serif" w:hAnsi="Arial;Helvetica;sans-serif"/>
                <w:b w:val="false"/>
                <w:i w:val="false"/>
                <w:caps w:val="false"/>
                <w:smallCaps w:val="false"/>
                <w:sz w:val="22"/>
              </w:rPr>
            </w:pPr>
            <w:r>
              <w:rPr>
                <w:rFonts w:ascii="Arial;Helvetica;sans-serif" w:hAnsi="Arial;Helvetica;sans-serif"/>
                <w:b w:val="false"/>
                <w:i w:val="false"/>
                <w:caps w:val="false"/>
                <w:smallCaps w:val="false"/>
                <w:sz w:val="22"/>
              </w:rPr>
              <w:t>Final Invoice and Payment. Any price adjustment which may be necessary as a result of the outcome of RBT's analysis of the Official Sample shall be embodied in a final invoice that will be forwarded to Buyer along with the certificate of analysis signed by RBT within [***] of completion of loading. In the event of a debit to Buyer, the final invoice shall be presented, and payment by Buyer shall be effected, in the same manner as detailed in Article VIII.B.1. above. In the event of a credit to Buyer, RBT shall remit the relevant amount to Buyer by telegraphic transfer within [***] of the date of the final invoice.</w:t>
            </w:r>
          </w:p>
        </w:tc>
      </w:tr>
    </w:tbl>
    <w:p>
      <w:pPr>
        <w:pStyle w:val="TextBody"/>
        <w:bidi w:val="0"/>
        <w:spacing w:before="0" w:after="0"/>
        <w:ind w:left="0" w:right="0" w:hanging="0"/>
        <w:jc w:val="both"/>
        <w:rPr/>
      </w:pPr>
      <w:r>
        <w:rPr/>
        <w:t>​</w:t>
      </w:r>
    </w:p>
    <w:tbl>
      <w:tblPr>
        <w:tblW w:w="10205" w:type="dxa"/>
        <w:jc w:val="left"/>
        <w:tblInd w:w="0" w:type="dxa"/>
        <w:tblLayout w:type="fixed"/>
        <w:tblCellMar>
          <w:top w:w="0" w:type="dxa"/>
          <w:left w:w="0" w:type="dxa"/>
          <w:bottom w:w="0" w:type="dxa"/>
          <w:right w:w="0" w:type="dxa"/>
        </w:tblCellMar>
      </w:tblPr>
      <w:tblGrid>
        <w:gridCol w:w="23"/>
        <w:gridCol w:w="245"/>
        <w:gridCol w:w="9937"/>
      </w:tblGrid>
      <w:tr>
        <w:trPr/>
        <w:tc>
          <w:tcPr>
            <w:tcW w:w="23"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0"/>
              <w:jc w:val="both"/>
              <w:rPr>
                <w:rFonts w:ascii="Arial;Helvetica;sans-serif" w:hAnsi="Arial;Helvetica;sans-serif"/>
                <w:sz w:val="22"/>
              </w:rPr>
            </w:pPr>
            <w:r>
              <w:rPr>
                <w:rFonts w:ascii="Arial;Helvetica;sans-serif" w:hAnsi="Arial;Helvetica;sans-serif"/>
                <w:sz w:val="22"/>
              </w:rPr>
              <w:t>C.</w:t>
            </w:r>
          </w:p>
        </w:tc>
        <w:tc>
          <w:tcPr>
            <w:tcW w:w="9937" w:type="dxa"/>
            <w:tcBorders/>
            <w:vAlign w:val="center"/>
          </w:tcPr>
          <w:p>
            <w:pPr>
              <w:pStyle w:val="TableContents"/>
              <w:bidi w:val="0"/>
              <w:spacing w:before="0" w:after="0"/>
              <w:jc w:val="both"/>
              <w:rPr>
                <w:rFonts w:ascii="Arial;Helvetica;sans-serif" w:hAnsi="Arial;Helvetica;sans-serif"/>
                <w:sz w:val="22"/>
              </w:rPr>
            </w:pPr>
            <w:r>
              <w:rPr>
                <w:rFonts w:ascii="Arial;Helvetica;sans-serif" w:hAnsi="Arial;Helvetica;sans-serif"/>
                <w:sz w:val="22"/>
              </w:rPr>
              <w:t>Other Invoices and Payments. Payment of other amounts due hereunder, such as the fees referred to in Articles XI.B.2 and XI.C.5 shall be made by Buyer to RBT within [***] of Buyer's receipt of an invoice for such amounts.</w:t>
            </w:r>
          </w:p>
        </w:tc>
      </w:tr>
    </w:tbl>
    <w:p>
      <w:pPr>
        <w:pStyle w:val="TextBody"/>
        <w:bidi w:val="0"/>
        <w:spacing w:before="0" w:after="0"/>
        <w:ind w:left="0" w:right="0" w:hanging="0"/>
        <w:jc w:val="left"/>
        <w:rPr>
          <w:spacing w:val="5"/>
        </w:rPr>
      </w:pPr>
      <w:r>
        <w:rPr>
          <w:spacing w:val="5"/>
        </w:rPr>
        <w:t>​</w:t>
      </w:r>
    </w:p>
    <w:p>
      <w:pPr>
        <w:pStyle w:val="TextBody"/>
        <w:bidi w:val="0"/>
        <w:spacing w:before="0" w:after="0"/>
        <w:ind w:left="0" w:right="0" w:hanging="0"/>
        <w:jc w:val="left"/>
        <w:rPr>
          <w:rFonts w:ascii="Arial;Helvetica;sans-serif" w:hAnsi="Arial;Helvetica;sans-serif"/>
          <w:b/>
          <w:spacing w:val="5"/>
          <w:sz w:val="22"/>
        </w:rPr>
      </w:pPr>
      <w:r>
        <w:rPr>
          <w:rFonts w:ascii="Arial;Helvetica;sans-serif" w:hAnsi="Arial;Helvetica;sans-serif"/>
          <w:b/>
          <w:spacing w:val="5"/>
          <w:sz w:val="22"/>
        </w:rPr>
        <w:t>[Effective commencing January 1, 2027]</w:t>
      </w:r>
    </w:p>
    <w:p>
      <w:pPr>
        <w:pStyle w:val="TextBody"/>
        <w:bidi w:val="0"/>
        <w:spacing w:before="0" w:after="0"/>
        <w:ind w:left="0" w:right="0" w:hanging="0"/>
        <w:jc w:val="left"/>
        <w:rPr>
          <w:spacing w:val="5"/>
        </w:rPr>
      </w:pPr>
      <w:r>
        <w:rPr>
          <w:spacing w:val="5"/>
        </w:rPr>
        <w:t>​</w:t>
      </w:r>
    </w:p>
    <w:p>
      <w:pPr>
        <w:pStyle w:val="TextBody"/>
        <w:pBdr/>
        <w:bidi w:val="0"/>
        <w:spacing w:before="0" w:after="0"/>
        <w:ind w:left="720" w:right="0" w:hanging="273"/>
        <w:jc w:val="both"/>
        <w:rPr>
          <w:rFonts w:ascii="Arial;Helvetica;sans-serif" w:hAnsi="Arial;Helvetica;sans-serif"/>
          <w:sz w:val="22"/>
        </w:rPr>
      </w:pPr>
      <w:r>
        <w:rPr>
          <w:rFonts w:ascii="Arial;Helvetica;sans-serif" w:hAnsi="Arial;Helvetica;sans-serif"/>
          <w:sz w:val="22"/>
        </w:rPr>
        <w:t>A. PAYMENT FOR PRODUCT SHIPPED TO THE (i) WAREHOUSE OR (ii) SILOS (CONSIGNMENT).</w:t>
      </w:r>
    </w:p>
    <w:p>
      <w:pPr>
        <w:pStyle w:val="TextBody"/>
        <w:pBdr/>
        <w:bidi w:val="0"/>
        <w:spacing w:before="0" w:after="0"/>
        <w:ind w:left="720" w:right="0" w:hanging="273"/>
        <w:jc w:val="both"/>
        <w:rPr/>
      </w:pPr>
      <w:r>
        <w:rPr/>
        <w:t>​</w:t>
      </w:r>
    </w:p>
    <w:p>
      <w:pPr>
        <w:pStyle w:val="TextBody"/>
        <w:pBdr/>
        <w:bidi w:val="0"/>
        <w:spacing w:before="0" w:after="0"/>
        <w:ind w:left="720" w:right="0" w:hanging="0"/>
        <w:jc w:val="both"/>
        <w:rPr>
          <w:rFonts w:ascii="Arial;Helvetica;sans-serif" w:hAnsi="Arial;Helvetica;sans-serif"/>
          <w:sz w:val="22"/>
        </w:rPr>
      </w:pPr>
      <w:r>
        <w:rPr>
          <w:rFonts w:ascii="Arial;Helvetica;sans-serif" w:hAnsi="Arial;Helvetica;sans-serif"/>
          <w:sz w:val="22"/>
        </w:rPr>
        <w:t>The following payment terms shall apply to all Product shipped to the (i) Warehouse or (ii) Silos (as defined in the Consignment Stock Terms attached hereto as Schedule 1 (the “Consignment Terms”)):</w:t>
      </w:r>
    </w:p>
    <w:p>
      <w:pPr>
        <w:pStyle w:val="TextBody"/>
        <w:pBdr/>
        <w:bidi w:val="0"/>
        <w:spacing w:before="0" w:after="0"/>
        <w:ind w:left="720" w:right="0" w:hanging="273"/>
        <w:jc w:val="both"/>
        <w:rPr/>
      </w:pPr>
      <w:r>
        <w:rPr/>
        <w:t>​</w:t>
      </w:r>
    </w:p>
    <w:tbl>
      <w:tblPr>
        <w:tblW w:w="10205" w:type="dxa"/>
        <w:jc w:val="left"/>
        <w:tblInd w:w="0" w:type="dxa"/>
        <w:tblLayout w:type="fixed"/>
        <w:tblCellMar>
          <w:top w:w="0" w:type="dxa"/>
          <w:left w:w="0" w:type="dxa"/>
          <w:bottom w:w="0" w:type="dxa"/>
          <w:right w:w="0" w:type="dxa"/>
        </w:tblCellMar>
      </w:tblPr>
      <w:tblGrid>
        <w:gridCol w:w="23"/>
        <w:gridCol w:w="170"/>
        <w:gridCol w:w="10012"/>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rFonts w:ascii="Arial;Helvetica;sans-serif" w:hAnsi="Arial;Helvetica;sans-serif"/>
                <w:sz w:val="22"/>
              </w:rPr>
            </w:pPr>
            <w:r>
              <w:rPr>
                <w:rFonts w:ascii="Arial;Helvetica;sans-serif" w:hAnsi="Arial;Helvetica;sans-serif"/>
                <w:sz w:val="22"/>
              </w:rPr>
              <w:t>1.</w:t>
            </w:r>
          </w:p>
        </w:tc>
        <w:tc>
          <w:tcPr>
            <w:tcW w:w="10012" w:type="dxa"/>
            <w:tcBorders/>
            <w:vAlign w:val="center"/>
          </w:tcPr>
          <w:p>
            <w:pPr>
              <w:pStyle w:val="TableContents"/>
              <w:bidi w:val="0"/>
              <w:spacing w:before="0" w:after="283"/>
              <w:jc w:val="left"/>
              <w:rPr/>
            </w:pPr>
            <w:r>
              <w:rPr>
                <w:rFonts w:ascii="Arial;Helvetica;sans-serif" w:hAnsi="Arial;Helvetica;sans-serif"/>
                <w:b w:val="false"/>
                <w:i w:val="false"/>
                <w:caps w:val="false"/>
                <w:smallCaps w:val="false"/>
                <w:sz w:val="22"/>
                <w:u w:val="single"/>
              </w:rPr>
              <w:t>Regular Invoicing and Payments for Product shipped to the (i) Warehouse or (ii) Silos</w:t>
            </w:r>
            <w:r>
              <w:rPr>
                <w:rFonts w:ascii="Arial;Helvetica;sans-serif" w:hAnsi="Arial;Helvetica;sans-serif"/>
                <w:b w:val="false"/>
                <w:i w:val="false"/>
                <w:caps w:val="false"/>
                <w:smallCaps w:val="false"/>
                <w:sz w:val="22"/>
              </w:rPr>
              <w:t>.  Upon shipment of Product to the (i) Warehouse or (ii) Silos, RBT shall supply the following documents:</w:t>
            </w:r>
          </w:p>
        </w:tc>
      </w:tr>
    </w:tbl>
    <w:p>
      <w:pPr>
        <w:pStyle w:val="TextBody"/>
        <w:bidi w:val="0"/>
        <w:spacing w:before="0" w:after="0"/>
        <w:ind w:left="1353" w:right="0" w:hanging="0"/>
        <w:jc w:val="both"/>
        <w:rPr/>
      </w:pPr>
      <w:r>
        <w:rPr/>
        <w:t>​</w:t>
      </w:r>
    </w:p>
    <w:tbl>
      <w:tblPr>
        <w:tblW w:w="5058" w:type="dxa"/>
        <w:jc w:val="left"/>
        <w:tblInd w:w="0" w:type="dxa"/>
        <w:tblLayout w:type="fixed"/>
        <w:tblCellMar>
          <w:top w:w="0" w:type="dxa"/>
          <w:left w:w="0" w:type="dxa"/>
          <w:bottom w:w="0" w:type="dxa"/>
          <w:right w:w="0" w:type="dxa"/>
        </w:tblCellMar>
      </w:tblPr>
      <w:tblGrid>
        <w:gridCol w:w="23"/>
        <w:gridCol w:w="200"/>
        <w:gridCol w:w="4835"/>
      </w:tblGrid>
      <w:tr>
        <w:trPr/>
        <w:tc>
          <w:tcPr>
            <w:tcW w:w="23"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rFonts w:ascii="Arial;Helvetica;sans-serif" w:hAnsi="Arial;Helvetica;sans-serif"/>
                <w:sz w:val="22"/>
              </w:rPr>
            </w:pPr>
            <w:r>
              <w:rPr>
                <w:rFonts w:ascii="Arial;Helvetica;sans-serif" w:hAnsi="Arial;Helvetica;sans-serif"/>
                <w:sz w:val="22"/>
              </w:rPr>
              <w:t>a.</w:t>
            </w:r>
          </w:p>
        </w:tc>
        <w:tc>
          <w:tcPr>
            <w:tcW w:w="4835" w:type="dxa"/>
            <w:tcBorders/>
            <w:vAlign w:val="center"/>
          </w:tcPr>
          <w:p>
            <w:pPr>
              <w:pStyle w:val="TableContents"/>
              <w:bidi w:val="0"/>
              <w:spacing w:before="0" w:after="283"/>
              <w:jc w:val="left"/>
              <w:rPr>
                <w:rFonts w:ascii="Arial;Helvetica;sans-serif" w:hAnsi="Arial;Helvetica;sans-serif"/>
                <w:b w:val="false"/>
                <w:i w:val="false"/>
                <w:caps w:val="false"/>
                <w:smallCaps w:val="false"/>
                <w:sz w:val="22"/>
              </w:rPr>
            </w:pPr>
            <w:r>
              <w:rPr>
                <w:rFonts w:ascii="Arial;Helvetica;sans-serif" w:hAnsi="Arial;Helvetica;sans-serif"/>
                <w:b w:val="false"/>
                <w:i w:val="false"/>
                <w:caps w:val="false"/>
                <w:smallCaps w:val="false"/>
                <w:sz w:val="22"/>
              </w:rPr>
              <w:t>Surveyor's certificate of mass (weight certificate);</w:t>
            </w:r>
          </w:p>
        </w:tc>
      </w:tr>
    </w:tbl>
    <w:tbl>
      <w:tblPr>
        <w:tblW w:w="10205" w:type="dxa"/>
        <w:jc w:val="left"/>
        <w:tblInd w:w="0" w:type="dxa"/>
        <w:tblLayout w:type="fixed"/>
        <w:tblCellMar>
          <w:top w:w="0" w:type="dxa"/>
          <w:left w:w="0" w:type="dxa"/>
          <w:bottom w:w="0" w:type="dxa"/>
          <w:right w:w="0" w:type="dxa"/>
        </w:tblCellMar>
      </w:tblPr>
      <w:tblGrid>
        <w:gridCol w:w="23"/>
        <w:gridCol w:w="200"/>
        <w:gridCol w:w="9982"/>
      </w:tblGrid>
      <w:tr>
        <w:trPr/>
        <w:tc>
          <w:tcPr>
            <w:tcW w:w="23"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rFonts w:ascii="Arial;Helvetica;sans-serif" w:hAnsi="Arial;Helvetica;sans-serif"/>
                <w:sz w:val="22"/>
              </w:rPr>
            </w:pPr>
            <w:r>
              <w:rPr>
                <w:rFonts w:ascii="Arial;Helvetica;sans-serif" w:hAnsi="Arial;Helvetica;sans-serif"/>
                <w:sz w:val="22"/>
              </w:rPr>
              <w:t>b.</w:t>
            </w:r>
          </w:p>
        </w:tc>
        <w:tc>
          <w:tcPr>
            <w:tcW w:w="9982" w:type="dxa"/>
            <w:tcBorders/>
            <w:vAlign w:val="center"/>
          </w:tcPr>
          <w:p>
            <w:pPr>
              <w:pStyle w:val="TableContents"/>
              <w:bidi w:val="0"/>
              <w:spacing w:before="0" w:after="283"/>
              <w:jc w:val="left"/>
              <w:rPr>
                <w:rFonts w:ascii="Arial;Helvetica;sans-serif" w:hAnsi="Arial;Helvetica;sans-serif"/>
                <w:b w:val="false"/>
                <w:i w:val="false"/>
                <w:caps w:val="false"/>
                <w:smallCaps w:val="false"/>
                <w:sz w:val="22"/>
              </w:rPr>
            </w:pPr>
            <w:r>
              <w:rPr>
                <w:rFonts w:ascii="Arial;Helvetica;sans-serif" w:hAnsi="Arial;Helvetica;sans-serif"/>
                <w:b w:val="false"/>
                <w:i w:val="false"/>
                <w:caps w:val="false"/>
                <w:smallCaps w:val="false"/>
                <w:sz w:val="22"/>
              </w:rPr>
              <w:t>Full set of clean onboard ocean bills of lading covering the shipment by the cargo vessel in question, designating "Richards Bay Titanium (Proprietary) Limited" as shipper and Buyer as consignee or any other affiliated company designated by Buyer as consignee; and</w:t>
            </w:r>
          </w:p>
        </w:tc>
      </w:tr>
    </w:tbl>
    <w:tbl>
      <w:tblPr>
        <w:tblW w:w="10205" w:type="dxa"/>
        <w:jc w:val="left"/>
        <w:tblInd w:w="0" w:type="dxa"/>
        <w:tblLayout w:type="fixed"/>
        <w:tblCellMar>
          <w:top w:w="0" w:type="dxa"/>
          <w:left w:w="0" w:type="dxa"/>
          <w:bottom w:w="0" w:type="dxa"/>
          <w:right w:w="0" w:type="dxa"/>
        </w:tblCellMar>
      </w:tblPr>
      <w:tblGrid>
        <w:gridCol w:w="23"/>
        <w:gridCol w:w="200"/>
        <w:gridCol w:w="9982"/>
      </w:tblGrid>
      <w:tr>
        <w:trPr/>
        <w:tc>
          <w:tcPr>
            <w:tcW w:w="23"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rFonts w:ascii="Arial;Helvetica;sans-serif" w:hAnsi="Arial;Helvetica;sans-serif"/>
                <w:sz w:val="22"/>
              </w:rPr>
            </w:pPr>
            <w:r>
              <w:rPr>
                <w:rFonts w:ascii="Arial;Helvetica;sans-serif" w:hAnsi="Arial;Helvetica;sans-serif"/>
                <w:sz w:val="22"/>
              </w:rPr>
              <w:t>c.</w:t>
            </w:r>
          </w:p>
        </w:tc>
        <w:tc>
          <w:tcPr>
            <w:tcW w:w="9982" w:type="dxa"/>
            <w:tcBorders/>
            <w:vAlign w:val="center"/>
          </w:tcPr>
          <w:p>
            <w:pPr>
              <w:pStyle w:val="TableContents"/>
              <w:bidi w:val="0"/>
              <w:spacing w:before="0" w:after="283"/>
              <w:jc w:val="left"/>
              <w:rPr>
                <w:rFonts w:ascii="Arial;Helvetica;sans-serif" w:hAnsi="Arial;Helvetica;sans-serif"/>
                <w:b w:val="false"/>
                <w:i w:val="false"/>
                <w:caps w:val="false"/>
                <w:smallCaps w:val="false"/>
                <w:sz w:val="22"/>
              </w:rPr>
            </w:pPr>
            <w:r>
              <w:rPr>
                <w:rFonts w:ascii="Arial;Helvetica;sans-serif" w:hAnsi="Arial;Helvetica;sans-serif"/>
                <w:b w:val="false"/>
                <w:i w:val="false"/>
                <w:caps w:val="false"/>
                <w:smallCaps w:val="false"/>
                <w:sz w:val="22"/>
              </w:rPr>
              <w:t>Such other documents and papers as may be required to clear Product for shipment from South Africa to the port of destination.</w:t>
            </w:r>
          </w:p>
        </w:tc>
      </w:tr>
    </w:tbl>
    <w:p>
      <w:pPr>
        <w:pStyle w:val="TextBody"/>
        <w:bidi w:val="0"/>
        <w:spacing w:before="0" w:after="0"/>
        <w:ind w:left="0" w:right="0" w:hanging="0"/>
        <w:jc w:val="both"/>
        <w:rPr/>
      </w:pPr>
      <w:r>
        <w:rPr/>
        <w:t>​</w:t>
      </w:r>
    </w:p>
    <w:p>
      <w:pPr>
        <w:pStyle w:val="TextBody"/>
        <w:bidi w:val="0"/>
        <w:spacing w:before="0" w:after="0"/>
        <w:ind w:left="1353" w:right="0" w:hanging="0"/>
        <w:jc w:val="both"/>
        <w:rPr>
          <w:rFonts w:ascii="Arial;Helvetica;sans-serif" w:hAnsi="Arial;Helvetica;sans-serif"/>
          <w:sz w:val="22"/>
        </w:rPr>
      </w:pPr>
      <w:r>
        <w:rPr>
          <w:rFonts w:ascii="Arial;Helvetica;sans-serif" w:hAnsi="Arial;Helvetica;sans-serif"/>
          <w:sz w:val="22"/>
        </w:rPr>
        <w:t>The above-mentioned documents shall be couriered to Buyer or such affiliated company as Buyer shall have designated in accordance with Article XIX. RBT shall accept payment from Buyer or any of Buyer's affiliated companies, but Buyer shall be primarily and separately liable for all sums due under this Agreement.</w:t>
      </w:r>
    </w:p>
    <w:p>
      <w:pPr>
        <w:pStyle w:val="TextBody"/>
        <w:bidi w:val="0"/>
        <w:spacing w:before="0" w:after="0"/>
        <w:ind w:left="1353" w:right="0" w:hanging="0"/>
        <w:jc w:val="both"/>
        <w:rPr/>
      </w:pPr>
      <w:r>
        <w:rPr/>
        <w:t>​</w:t>
      </w:r>
    </w:p>
    <w:tbl>
      <w:tblPr>
        <w:tblW w:w="10205" w:type="dxa"/>
        <w:jc w:val="left"/>
        <w:tblInd w:w="0" w:type="dxa"/>
        <w:tblLayout w:type="fixed"/>
        <w:tblCellMar>
          <w:top w:w="0" w:type="dxa"/>
          <w:left w:w="0" w:type="dxa"/>
          <w:bottom w:w="0" w:type="dxa"/>
          <w:right w:w="0" w:type="dxa"/>
        </w:tblCellMar>
      </w:tblPr>
      <w:tblGrid>
        <w:gridCol w:w="23"/>
        <w:gridCol w:w="164"/>
        <w:gridCol w:w="10018"/>
      </w:tblGrid>
      <w:tr>
        <w:trPr/>
        <w:tc>
          <w:tcPr>
            <w:tcW w:w="23"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rFonts w:ascii="Arial;Helvetica;sans-serif" w:hAnsi="Arial;Helvetica;sans-serif"/>
                <w:sz w:val="22"/>
              </w:rPr>
            </w:pPr>
            <w:r>
              <w:rPr>
                <w:rFonts w:ascii="Arial;Helvetica;sans-serif" w:hAnsi="Arial;Helvetica;sans-serif"/>
                <w:sz w:val="22"/>
              </w:rPr>
              <w:t>2.</w:t>
            </w:r>
          </w:p>
        </w:tc>
        <w:tc>
          <w:tcPr>
            <w:tcW w:w="10018" w:type="dxa"/>
            <w:tcBorders/>
            <w:vAlign w:val="center"/>
          </w:tcPr>
          <w:p>
            <w:pPr>
              <w:pStyle w:val="TableContents"/>
              <w:bidi w:val="0"/>
              <w:spacing w:before="0" w:after="283"/>
              <w:jc w:val="left"/>
              <w:rPr>
                <w:rFonts w:ascii="Arial;Helvetica;sans-serif" w:hAnsi="Arial;Helvetica;sans-serif"/>
                <w:b w:val="false"/>
                <w:i w:val="false"/>
                <w:caps w:val="false"/>
                <w:smallCaps w:val="false"/>
                <w:sz w:val="22"/>
              </w:rPr>
            </w:pPr>
            <w:r>
              <w:rPr>
                <w:rFonts w:ascii="Arial;Helvetica;sans-serif" w:hAnsi="Arial;Helvetica;sans-serif"/>
                <w:b w:val="false"/>
                <w:i w:val="false"/>
                <w:caps w:val="false"/>
                <w:smallCaps w:val="false"/>
                <w:sz w:val="22"/>
              </w:rPr>
              <w:t xml:space="preserve">On receipt of Buyer’s declaration Product withdrawn from the (i) Warehouse or (ii) Silos on the first working day after the end of the month, RBT shall issue a commercial invoice covering the volume of Product withdrawn during the month, </w:t>
            </w:r>
          </w:p>
        </w:tc>
      </w:tr>
    </w:tbl>
    <w:p>
      <w:pPr>
        <w:pStyle w:val="TextBody"/>
        <w:bidi w:val="0"/>
        <w:spacing w:before="0" w:after="0"/>
        <w:ind w:left="0" w:right="0" w:hanging="0"/>
        <w:jc w:val="center"/>
        <w:rPr>
          <w:rFonts w:ascii="Arial;Helvetica;sans-serif" w:hAnsi="Arial;Helvetica;sans-serif"/>
          <w:caps/>
          <w:sz w:val="20"/>
        </w:rPr>
      </w:pPr>
      <w:r>
        <w:rPr>
          <w:rFonts w:ascii="Arial;Helvetica;sans-serif" w:hAnsi="Arial;Helvetica;sans-serif"/>
          <w:caps/>
          <w:sz w:val="20"/>
        </w:rPr>
        <w:t>6</w:t>
      </w:r>
    </w:p>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tbl>
      <w:tblPr>
        <w:tblW w:w="10205" w:type="dxa"/>
        <w:jc w:val="left"/>
        <w:tblInd w:w="0" w:type="dxa"/>
        <w:tblLayout w:type="fixed"/>
        <w:tblCellMar>
          <w:top w:w="0" w:type="dxa"/>
          <w:left w:w="0" w:type="dxa"/>
          <w:bottom w:w="0" w:type="dxa"/>
          <w:right w:w="0" w:type="dxa"/>
        </w:tblCellMar>
      </w:tblPr>
      <w:tblGrid>
        <w:gridCol w:w="23"/>
        <w:gridCol w:w="23"/>
        <w:gridCol w:w="10159"/>
      </w:tblGrid>
      <w:tr>
        <w:trPr/>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10159" w:type="dxa"/>
            <w:tcBorders/>
            <w:vAlign w:val="center"/>
          </w:tcPr>
          <w:p>
            <w:pPr>
              <w:pStyle w:val="TableContents"/>
              <w:bidi w:val="0"/>
              <w:spacing w:before="0" w:after="283"/>
              <w:jc w:val="left"/>
              <w:rPr>
                <w:rFonts w:ascii="Arial;Helvetica;sans-serif" w:hAnsi="Arial;Helvetica;sans-serif"/>
                <w:b w:val="false"/>
                <w:i w:val="false"/>
                <w:caps w:val="false"/>
                <w:smallCaps w:val="false"/>
                <w:sz w:val="22"/>
              </w:rPr>
            </w:pPr>
            <w:r>
              <w:rPr>
                <w:rFonts w:ascii="Arial;Helvetica;sans-serif" w:hAnsi="Arial;Helvetica;sans-serif"/>
                <w:b w:val="false"/>
                <w:i w:val="false"/>
                <w:caps w:val="false"/>
                <w:smallCaps w:val="false"/>
                <w:sz w:val="22"/>
              </w:rPr>
              <w:t>based on the assumption that the TiO2 content of the Product is [***], with the invoice date being the first day of the month.</w:t>
            </w:r>
          </w:p>
        </w:tc>
      </w:tr>
    </w:tbl>
    <w:p>
      <w:pPr>
        <w:pStyle w:val="TextBody"/>
        <w:bidi w:val="0"/>
        <w:spacing w:before="0" w:after="0"/>
        <w:ind w:left="1353" w:right="0" w:hanging="0"/>
        <w:jc w:val="both"/>
        <w:rPr/>
      </w:pPr>
      <w:r>
        <w:rPr/>
        <w:t>​</w:t>
      </w:r>
    </w:p>
    <w:tbl>
      <w:tblPr>
        <w:tblW w:w="10205" w:type="dxa"/>
        <w:jc w:val="left"/>
        <w:tblInd w:w="0" w:type="dxa"/>
        <w:tblLayout w:type="fixed"/>
        <w:tblCellMar>
          <w:top w:w="0" w:type="dxa"/>
          <w:left w:w="0" w:type="dxa"/>
          <w:bottom w:w="0" w:type="dxa"/>
          <w:right w:w="0" w:type="dxa"/>
        </w:tblCellMar>
      </w:tblPr>
      <w:tblGrid>
        <w:gridCol w:w="23"/>
        <w:gridCol w:w="148"/>
        <w:gridCol w:w="10034"/>
      </w:tblGrid>
      <w:tr>
        <w:trPr/>
        <w:tc>
          <w:tcPr>
            <w:tcW w:w="23"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rFonts w:ascii="Arial;Helvetica;sans-serif" w:hAnsi="Arial;Helvetica;sans-serif"/>
                <w:sz w:val="22"/>
              </w:rPr>
            </w:pPr>
            <w:r>
              <w:rPr>
                <w:rFonts w:ascii="Arial;Helvetica;sans-serif" w:hAnsi="Arial;Helvetica;sans-serif"/>
                <w:sz w:val="22"/>
              </w:rPr>
              <w:t>3.</w:t>
            </w:r>
          </w:p>
        </w:tc>
        <w:tc>
          <w:tcPr>
            <w:tcW w:w="10034" w:type="dxa"/>
            <w:tcBorders/>
            <w:vAlign w:val="center"/>
          </w:tcPr>
          <w:p>
            <w:pPr>
              <w:pStyle w:val="TableContents"/>
              <w:bidi w:val="0"/>
              <w:spacing w:before="0" w:after="283"/>
              <w:jc w:val="left"/>
              <w:rPr>
                <w:rFonts w:ascii="Arial;Helvetica;sans-serif" w:hAnsi="Arial;Helvetica;sans-serif"/>
                <w:b w:val="false"/>
                <w:i w:val="false"/>
                <w:caps w:val="false"/>
                <w:smallCaps w:val="false"/>
                <w:sz w:val="22"/>
              </w:rPr>
            </w:pPr>
            <w:r>
              <w:rPr>
                <w:rFonts w:ascii="Arial;Helvetica;sans-serif" w:hAnsi="Arial;Helvetica;sans-serif"/>
                <w:b w:val="false"/>
                <w:i w:val="false"/>
                <w:caps w:val="false"/>
                <w:smallCaps w:val="false"/>
                <w:sz w:val="22"/>
              </w:rPr>
              <w:t>Unless otherwise agreed, payment for the Product shall be made by Buyer or a Related Entity in U.S. dollars by telegraphic transfer to RBT, to such the account identified in clause B.1. below within [***] of date of Seller’s invoice in respect of the Buyer’s usage declaration. Seller shall make its best efforts to complete the analysis of the Official Sample of a shipment prior to arrival of such shipment at the Consignment Stock Area (as defined in the Consignment Terms). Adjustments for TiO2 content of Product sold under the consignment arrangement as defined in the Agreement, shall occur on a first in first out basis and be included in Seller’s commercial invoice.</w:t>
            </w:r>
          </w:p>
        </w:tc>
      </w:tr>
    </w:tbl>
    <w:p>
      <w:pPr>
        <w:pStyle w:val="TextBody"/>
        <w:bidi w:val="0"/>
        <w:spacing w:before="0" w:after="0"/>
        <w:ind w:left="72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23"/>
        <w:gridCol w:w="168"/>
        <w:gridCol w:w="10014"/>
      </w:tblGrid>
      <w:tr>
        <w:trPr/>
        <w:tc>
          <w:tcPr>
            <w:tcW w:w="23"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rFonts w:ascii="Arial;Helvetica;sans-serif" w:hAnsi="Arial;Helvetica;sans-serif"/>
                <w:sz w:val="22"/>
              </w:rPr>
            </w:pPr>
            <w:r>
              <w:rPr>
                <w:rFonts w:ascii="Arial;Helvetica;sans-serif" w:hAnsi="Arial;Helvetica;sans-serif"/>
                <w:sz w:val="22"/>
              </w:rPr>
              <w:t>4.</w:t>
            </w:r>
          </w:p>
        </w:tc>
        <w:tc>
          <w:tcPr>
            <w:tcW w:w="10014" w:type="dxa"/>
            <w:tcBorders/>
            <w:vAlign w:val="center"/>
          </w:tcPr>
          <w:p>
            <w:pPr>
              <w:pStyle w:val="TableContents"/>
              <w:bidi w:val="0"/>
              <w:spacing w:before="0" w:after="283"/>
              <w:jc w:val="left"/>
              <w:rPr>
                <w:rFonts w:ascii="Arial;Helvetica;sans-serif" w:hAnsi="Arial;Helvetica;sans-serif"/>
                <w:b w:val="false"/>
                <w:i w:val="false"/>
                <w:caps w:val="false"/>
                <w:smallCaps w:val="false"/>
                <w:sz w:val="22"/>
              </w:rPr>
            </w:pPr>
            <w:r>
              <w:rPr>
                <w:rFonts w:ascii="Arial;Helvetica;sans-serif" w:hAnsi="Arial;Helvetica;sans-serif"/>
                <w:b w:val="false"/>
                <w:i w:val="false"/>
                <w:caps w:val="false"/>
                <w:smallCaps w:val="false"/>
                <w:sz w:val="22"/>
              </w:rPr>
              <w:t>RBT shall accept payment from Buyer or any of Buyer’s Related Entity, but Buyer shall remain primarily and separately liable for all sums due under this Agreement that are not paid by such Related Entities.</w:t>
            </w:r>
          </w:p>
        </w:tc>
      </w:tr>
    </w:tbl>
    <w:p>
      <w:pPr>
        <w:pStyle w:val="TextBody"/>
        <w:pBdr/>
        <w:bidi w:val="0"/>
        <w:spacing w:before="0" w:after="0"/>
        <w:ind w:left="720" w:right="0" w:hanging="273"/>
        <w:jc w:val="both"/>
        <w:rPr/>
      </w:pPr>
      <w:r>
        <w:rPr/>
        <w:t>​</w:t>
      </w:r>
    </w:p>
    <w:tbl>
      <w:tblPr>
        <w:tblW w:w="10205" w:type="dxa"/>
        <w:jc w:val="left"/>
        <w:tblInd w:w="0" w:type="dxa"/>
        <w:tblLayout w:type="fixed"/>
        <w:tblCellMar>
          <w:top w:w="0" w:type="dxa"/>
          <w:left w:w="0" w:type="dxa"/>
          <w:bottom w:w="0" w:type="dxa"/>
          <w:right w:w="0" w:type="dxa"/>
        </w:tblCellMar>
      </w:tblPr>
      <w:tblGrid>
        <w:gridCol w:w="23"/>
        <w:gridCol w:w="230"/>
        <w:gridCol w:w="9952"/>
      </w:tblGrid>
      <w:tr>
        <w:trPr/>
        <w:tc>
          <w:tcPr>
            <w:tcW w:w="23"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0"/>
              <w:jc w:val="both"/>
              <w:rPr>
                <w:rFonts w:ascii="Arial;Helvetica;sans-serif" w:hAnsi="Arial;Helvetica;sans-serif"/>
                <w:sz w:val="22"/>
              </w:rPr>
            </w:pPr>
            <w:r>
              <w:rPr>
                <w:rFonts w:ascii="Arial;Helvetica;sans-serif" w:hAnsi="Arial;Helvetica;sans-serif"/>
                <w:sz w:val="22"/>
              </w:rPr>
              <w:t>B.</w:t>
            </w:r>
          </w:p>
        </w:tc>
        <w:tc>
          <w:tcPr>
            <w:tcW w:w="9952" w:type="dxa"/>
            <w:tcBorders/>
            <w:vAlign w:val="center"/>
          </w:tcPr>
          <w:p>
            <w:pPr>
              <w:pStyle w:val="TableContents"/>
              <w:bidi w:val="0"/>
              <w:spacing w:before="0" w:after="0"/>
              <w:jc w:val="both"/>
              <w:rPr>
                <w:rFonts w:ascii="Arial;Helvetica;sans-serif" w:hAnsi="Arial;Helvetica;sans-serif"/>
                <w:sz w:val="22"/>
              </w:rPr>
            </w:pPr>
            <w:r>
              <w:rPr>
                <w:rFonts w:ascii="Arial;Helvetica;sans-serif" w:hAnsi="Arial;Helvetica;sans-serif"/>
                <w:sz w:val="22"/>
              </w:rPr>
              <w:t>PAYMENT FOR PRODUCT SHIPPED TO LOCATIONS OTHER THAN THE (i) WAREHOUSE OR (ii) SILOS.</w:t>
            </w:r>
          </w:p>
        </w:tc>
      </w:tr>
    </w:tbl>
    <w:p>
      <w:pPr>
        <w:pStyle w:val="TextBody"/>
        <w:pBdr/>
        <w:bidi w:val="0"/>
        <w:spacing w:before="0" w:after="0"/>
        <w:ind w:left="720" w:right="0" w:hanging="273"/>
        <w:jc w:val="both"/>
        <w:rPr/>
      </w:pPr>
      <w:r>
        <w:rPr/>
        <w:t>​</w:t>
      </w:r>
    </w:p>
    <w:p>
      <w:pPr>
        <w:pStyle w:val="TextBody"/>
        <w:pBdr/>
        <w:bidi w:val="0"/>
        <w:spacing w:before="0" w:after="0"/>
        <w:ind w:left="720" w:right="0" w:hanging="0"/>
        <w:jc w:val="both"/>
        <w:rPr>
          <w:rFonts w:ascii="Arial;Helvetica;sans-serif" w:hAnsi="Arial;Helvetica;sans-serif"/>
          <w:sz w:val="22"/>
        </w:rPr>
      </w:pPr>
      <w:r>
        <w:rPr>
          <w:rFonts w:ascii="Arial;Helvetica;sans-serif" w:hAnsi="Arial;Helvetica;sans-serif"/>
          <w:sz w:val="22"/>
        </w:rPr>
        <w:t>The following payment terms shall apply to all Product shipped to locations other than the (i) Warehouse or (ii) Silos:</w:t>
      </w:r>
    </w:p>
    <w:p>
      <w:pPr>
        <w:pStyle w:val="TextBody"/>
        <w:pBdr/>
        <w:bidi w:val="0"/>
        <w:spacing w:before="0" w:after="0"/>
        <w:ind w:left="720" w:right="0" w:hanging="273"/>
        <w:jc w:val="both"/>
        <w:rPr/>
      </w:pPr>
      <w:r>
        <w:rPr/>
        <w:t>​</w:t>
      </w:r>
    </w:p>
    <w:tbl>
      <w:tblPr>
        <w:tblW w:w="10205" w:type="dxa"/>
        <w:jc w:val="left"/>
        <w:tblInd w:w="0" w:type="dxa"/>
        <w:tblLayout w:type="fixed"/>
        <w:tblCellMar>
          <w:top w:w="0" w:type="dxa"/>
          <w:left w:w="0" w:type="dxa"/>
          <w:bottom w:w="0" w:type="dxa"/>
          <w:right w:w="0" w:type="dxa"/>
        </w:tblCellMar>
      </w:tblPr>
      <w:tblGrid>
        <w:gridCol w:w="23"/>
        <w:gridCol w:w="157"/>
        <w:gridCol w:w="10025"/>
      </w:tblGrid>
      <w:tr>
        <w:trPr/>
        <w:tc>
          <w:tcPr>
            <w:tcW w:w="23"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rFonts w:ascii="Arial;Helvetica;sans-serif" w:hAnsi="Arial;Helvetica;sans-serif"/>
                <w:sz w:val="22"/>
              </w:rPr>
            </w:pPr>
            <w:r>
              <w:rPr>
                <w:rFonts w:ascii="Arial;Helvetica;sans-serif" w:hAnsi="Arial;Helvetica;sans-serif"/>
                <w:sz w:val="22"/>
              </w:rPr>
              <w:t>1.</w:t>
            </w:r>
          </w:p>
        </w:tc>
        <w:tc>
          <w:tcPr>
            <w:tcW w:w="10025" w:type="dxa"/>
            <w:tcBorders/>
            <w:vAlign w:val="center"/>
          </w:tcPr>
          <w:p>
            <w:pPr>
              <w:pStyle w:val="TableContents"/>
              <w:bidi w:val="0"/>
              <w:spacing w:before="0" w:after="283"/>
              <w:jc w:val="left"/>
              <w:rPr>
                <w:rFonts w:ascii="Arial;Helvetica;sans-serif" w:hAnsi="Arial;Helvetica;sans-serif"/>
                <w:b w:val="false"/>
                <w:i w:val="false"/>
                <w:caps w:val="false"/>
                <w:smallCaps w:val="false"/>
                <w:sz w:val="22"/>
              </w:rPr>
            </w:pPr>
            <w:r>
              <w:rPr>
                <w:rFonts w:ascii="Arial;Helvetica;sans-serif" w:hAnsi="Arial;Helvetica;sans-serif"/>
                <w:b w:val="false"/>
                <w:i w:val="false"/>
                <w:caps w:val="false"/>
                <w:smallCaps w:val="false"/>
                <w:sz w:val="22"/>
              </w:rPr>
              <w:t>Regular Payments. Unless otherwise agreed, payment in U.S. dollars shall be made by Buyer by telegraphic transfer to RBT's account #[***], naming Richard Bay Titanium as beneficiary, or such other account as RBT shall notify Buyer, within [***] of the Bill of Lading date. RBT shall supply the following documents:</w:t>
            </w:r>
          </w:p>
        </w:tc>
      </w:tr>
    </w:tbl>
    <w:p>
      <w:pPr>
        <w:pStyle w:val="TextBody"/>
        <w:pBdr/>
        <w:bidi w:val="0"/>
        <w:spacing w:before="0" w:after="0"/>
        <w:ind w:left="720" w:right="0" w:hanging="273"/>
        <w:jc w:val="both"/>
        <w:rPr/>
      </w:pPr>
      <w:r>
        <w:rPr/>
        <w:t>​</w:t>
      </w:r>
    </w:p>
    <w:tbl>
      <w:tblPr>
        <w:tblW w:w="10205" w:type="dxa"/>
        <w:jc w:val="left"/>
        <w:tblInd w:w="0" w:type="dxa"/>
        <w:tblLayout w:type="fixed"/>
        <w:tblCellMar>
          <w:top w:w="0" w:type="dxa"/>
          <w:left w:w="0" w:type="dxa"/>
          <w:bottom w:w="0" w:type="dxa"/>
          <w:right w:w="0" w:type="dxa"/>
        </w:tblCellMar>
      </w:tblPr>
      <w:tblGrid>
        <w:gridCol w:w="23"/>
        <w:gridCol w:w="200"/>
        <w:gridCol w:w="9982"/>
      </w:tblGrid>
      <w:tr>
        <w:trPr/>
        <w:tc>
          <w:tcPr>
            <w:tcW w:w="23"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rFonts w:ascii="Arial;Helvetica;sans-serif" w:hAnsi="Arial;Helvetica;sans-serif"/>
                <w:sz w:val="22"/>
              </w:rPr>
            </w:pPr>
            <w:r>
              <w:rPr>
                <w:rFonts w:ascii="Arial;Helvetica;sans-serif" w:hAnsi="Arial;Helvetica;sans-serif"/>
                <w:sz w:val="22"/>
              </w:rPr>
              <w:t>a.</w:t>
            </w:r>
          </w:p>
        </w:tc>
        <w:tc>
          <w:tcPr>
            <w:tcW w:w="9982" w:type="dxa"/>
            <w:tcBorders/>
            <w:vAlign w:val="center"/>
          </w:tcPr>
          <w:p>
            <w:pPr>
              <w:pStyle w:val="TableContents"/>
              <w:bidi w:val="0"/>
              <w:spacing w:before="0" w:after="283"/>
              <w:jc w:val="left"/>
              <w:rPr>
                <w:rFonts w:ascii="Arial;Helvetica;sans-serif" w:hAnsi="Arial;Helvetica;sans-serif"/>
                <w:b w:val="false"/>
                <w:i w:val="false"/>
                <w:caps w:val="false"/>
                <w:smallCaps w:val="false"/>
                <w:sz w:val="22"/>
              </w:rPr>
            </w:pPr>
            <w:r>
              <w:rPr>
                <w:rFonts w:ascii="Arial;Helvetica;sans-serif" w:hAnsi="Arial;Helvetica;sans-serif"/>
                <w:b w:val="false"/>
                <w:i w:val="false"/>
                <w:caps w:val="false"/>
                <w:smallCaps w:val="false"/>
                <w:sz w:val="22"/>
              </w:rPr>
              <w:t>RBT's commercial invoice covering the shipment, based on the assumption that the Ti02 content of Product is [***]%;</w:t>
            </w:r>
          </w:p>
        </w:tc>
      </w:tr>
    </w:tbl>
    <w:tbl>
      <w:tblPr>
        <w:tblW w:w="5058" w:type="dxa"/>
        <w:jc w:val="left"/>
        <w:tblInd w:w="0" w:type="dxa"/>
        <w:tblLayout w:type="fixed"/>
        <w:tblCellMar>
          <w:top w:w="0" w:type="dxa"/>
          <w:left w:w="0" w:type="dxa"/>
          <w:bottom w:w="0" w:type="dxa"/>
          <w:right w:w="0" w:type="dxa"/>
        </w:tblCellMar>
      </w:tblPr>
      <w:tblGrid>
        <w:gridCol w:w="23"/>
        <w:gridCol w:w="200"/>
        <w:gridCol w:w="4835"/>
      </w:tblGrid>
      <w:tr>
        <w:trPr/>
        <w:tc>
          <w:tcPr>
            <w:tcW w:w="23"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rFonts w:ascii="Arial;Helvetica;sans-serif" w:hAnsi="Arial;Helvetica;sans-serif"/>
                <w:sz w:val="22"/>
              </w:rPr>
            </w:pPr>
            <w:r>
              <w:rPr>
                <w:rFonts w:ascii="Arial;Helvetica;sans-serif" w:hAnsi="Arial;Helvetica;sans-serif"/>
                <w:sz w:val="22"/>
              </w:rPr>
              <w:t>b.</w:t>
            </w:r>
          </w:p>
        </w:tc>
        <w:tc>
          <w:tcPr>
            <w:tcW w:w="4835" w:type="dxa"/>
            <w:tcBorders/>
            <w:vAlign w:val="center"/>
          </w:tcPr>
          <w:p>
            <w:pPr>
              <w:pStyle w:val="TableContents"/>
              <w:bidi w:val="0"/>
              <w:spacing w:before="0" w:after="283"/>
              <w:jc w:val="left"/>
              <w:rPr>
                <w:rFonts w:ascii="Arial;Helvetica;sans-serif" w:hAnsi="Arial;Helvetica;sans-serif"/>
                <w:b w:val="false"/>
                <w:i w:val="false"/>
                <w:caps w:val="false"/>
                <w:smallCaps w:val="false"/>
                <w:sz w:val="22"/>
              </w:rPr>
            </w:pPr>
            <w:r>
              <w:rPr>
                <w:rFonts w:ascii="Arial;Helvetica;sans-serif" w:hAnsi="Arial;Helvetica;sans-serif"/>
                <w:b w:val="false"/>
                <w:i w:val="false"/>
                <w:caps w:val="false"/>
                <w:smallCaps w:val="false"/>
                <w:sz w:val="22"/>
              </w:rPr>
              <w:t>Surveyor's certificate of mass (weight certificate);</w:t>
            </w:r>
          </w:p>
        </w:tc>
      </w:tr>
    </w:tbl>
    <w:tbl>
      <w:tblPr>
        <w:tblW w:w="10205" w:type="dxa"/>
        <w:jc w:val="left"/>
        <w:tblInd w:w="0" w:type="dxa"/>
        <w:tblLayout w:type="fixed"/>
        <w:tblCellMar>
          <w:top w:w="0" w:type="dxa"/>
          <w:left w:w="0" w:type="dxa"/>
          <w:bottom w:w="0" w:type="dxa"/>
          <w:right w:w="0" w:type="dxa"/>
        </w:tblCellMar>
      </w:tblPr>
      <w:tblGrid>
        <w:gridCol w:w="23"/>
        <w:gridCol w:w="200"/>
        <w:gridCol w:w="9982"/>
      </w:tblGrid>
      <w:tr>
        <w:trPr/>
        <w:tc>
          <w:tcPr>
            <w:tcW w:w="23"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rFonts w:ascii="Arial;Helvetica;sans-serif" w:hAnsi="Arial;Helvetica;sans-serif"/>
                <w:sz w:val="22"/>
              </w:rPr>
            </w:pPr>
            <w:r>
              <w:rPr>
                <w:rFonts w:ascii="Arial;Helvetica;sans-serif" w:hAnsi="Arial;Helvetica;sans-serif"/>
                <w:sz w:val="22"/>
              </w:rPr>
              <w:t>c.</w:t>
            </w:r>
          </w:p>
        </w:tc>
        <w:tc>
          <w:tcPr>
            <w:tcW w:w="9982" w:type="dxa"/>
            <w:tcBorders/>
            <w:vAlign w:val="center"/>
          </w:tcPr>
          <w:p>
            <w:pPr>
              <w:pStyle w:val="TableContents"/>
              <w:bidi w:val="0"/>
              <w:spacing w:before="0" w:after="283"/>
              <w:jc w:val="left"/>
              <w:rPr>
                <w:rFonts w:ascii="Arial;Helvetica;sans-serif" w:hAnsi="Arial;Helvetica;sans-serif"/>
                <w:b w:val="false"/>
                <w:i w:val="false"/>
                <w:caps w:val="false"/>
                <w:smallCaps w:val="false"/>
                <w:sz w:val="22"/>
              </w:rPr>
            </w:pPr>
            <w:r>
              <w:rPr>
                <w:rFonts w:ascii="Arial;Helvetica;sans-serif" w:hAnsi="Arial;Helvetica;sans-serif"/>
                <w:b w:val="false"/>
                <w:i w:val="false"/>
                <w:caps w:val="false"/>
                <w:smallCaps w:val="false"/>
                <w:sz w:val="22"/>
              </w:rPr>
              <w:t>Full set of clean onboard ocean bills of lading covering the shipment by the cargo vessel in question, designating "Richards Bay Titanium (Proprietary) Limited" as shipper and Buyer as consignee or any other affiliated company designated by Buyer as consignee; and</w:t>
            </w:r>
          </w:p>
        </w:tc>
      </w:tr>
    </w:tbl>
    <w:tbl>
      <w:tblPr>
        <w:tblW w:w="10205" w:type="dxa"/>
        <w:jc w:val="left"/>
        <w:tblInd w:w="0" w:type="dxa"/>
        <w:tblLayout w:type="fixed"/>
        <w:tblCellMar>
          <w:top w:w="0" w:type="dxa"/>
          <w:left w:w="0" w:type="dxa"/>
          <w:bottom w:w="0" w:type="dxa"/>
          <w:right w:w="0" w:type="dxa"/>
        </w:tblCellMar>
      </w:tblPr>
      <w:tblGrid>
        <w:gridCol w:w="23"/>
        <w:gridCol w:w="200"/>
        <w:gridCol w:w="9982"/>
      </w:tblGrid>
      <w:tr>
        <w:trPr/>
        <w:tc>
          <w:tcPr>
            <w:tcW w:w="23"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rFonts w:ascii="Arial;Helvetica;sans-serif" w:hAnsi="Arial;Helvetica;sans-serif"/>
                <w:sz w:val="22"/>
              </w:rPr>
            </w:pPr>
            <w:r>
              <w:rPr>
                <w:rFonts w:ascii="Arial;Helvetica;sans-serif" w:hAnsi="Arial;Helvetica;sans-serif"/>
                <w:sz w:val="22"/>
              </w:rPr>
              <w:t>d.</w:t>
            </w:r>
          </w:p>
        </w:tc>
        <w:tc>
          <w:tcPr>
            <w:tcW w:w="9982" w:type="dxa"/>
            <w:tcBorders/>
            <w:vAlign w:val="center"/>
          </w:tcPr>
          <w:p>
            <w:pPr>
              <w:pStyle w:val="TableContents"/>
              <w:bidi w:val="0"/>
              <w:spacing w:before="0" w:after="283"/>
              <w:jc w:val="left"/>
              <w:rPr>
                <w:rFonts w:ascii="Arial;Helvetica;sans-serif" w:hAnsi="Arial;Helvetica;sans-serif"/>
                <w:b w:val="false"/>
                <w:i w:val="false"/>
                <w:caps w:val="false"/>
                <w:smallCaps w:val="false"/>
                <w:sz w:val="22"/>
              </w:rPr>
            </w:pPr>
            <w:r>
              <w:rPr>
                <w:rFonts w:ascii="Arial;Helvetica;sans-serif" w:hAnsi="Arial;Helvetica;sans-serif"/>
                <w:b w:val="false"/>
                <w:i w:val="false"/>
                <w:caps w:val="false"/>
                <w:smallCaps w:val="false"/>
                <w:sz w:val="22"/>
              </w:rPr>
              <w:t>Such other documents and papers as may be required to clear Product for shipment from South Africa to the port of destination.</w:t>
            </w:r>
          </w:p>
        </w:tc>
      </w:tr>
    </w:tbl>
    <w:p>
      <w:pPr>
        <w:pStyle w:val="TextBody"/>
        <w:bidi w:val="0"/>
        <w:spacing w:before="0" w:after="0"/>
        <w:ind w:left="2880" w:right="0" w:hanging="0"/>
        <w:jc w:val="both"/>
        <w:rPr/>
      </w:pPr>
      <w:r>
        <w:rPr/>
        <w:t>​</w:t>
      </w:r>
    </w:p>
    <w:p>
      <w:pPr>
        <w:pStyle w:val="TextBody"/>
        <w:bidi w:val="0"/>
        <w:spacing w:before="0" w:after="0"/>
        <w:ind w:left="1440" w:right="0" w:hanging="0"/>
        <w:jc w:val="both"/>
        <w:rPr>
          <w:rFonts w:ascii="Arial;Helvetica;sans-serif" w:hAnsi="Arial;Helvetica;sans-serif"/>
          <w:sz w:val="22"/>
        </w:rPr>
      </w:pPr>
      <w:r>
        <w:rPr>
          <w:rFonts w:ascii="Arial;Helvetica;sans-serif" w:hAnsi="Arial;Helvetica;sans-serif"/>
          <w:sz w:val="22"/>
        </w:rPr>
        <w:t>The above mentioned documents shall be couriered to Buyer or such affiliated company as Buyer shall have designated in accordance with Article XIX. RBT shall accept payment from Buyer or any of Buyer's affiliated companies, but Buyer shall be primarily and separately liable for all sums due under this Agreement.</w:t>
      </w:r>
    </w:p>
    <w:p>
      <w:pPr>
        <w:pStyle w:val="TextBody"/>
        <w:bidi w:val="0"/>
        <w:spacing w:before="0" w:after="0"/>
        <w:ind w:left="0" w:right="0" w:hanging="0"/>
        <w:jc w:val="both"/>
        <w:rPr/>
      </w:pPr>
      <w:r>
        <w:rPr/>
        <w:t>​</w:t>
      </w:r>
    </w:p>
    <w:tbl>
      <w:tblPr>
        <w:tblW w:w="10205" w:type="dxa"/>
        <w:jc w:val="left"/>
        <w:tblInd w:w="0" w:type="dxa"/>
        <w:tblLayout w:type="fixed"/>
        <w:tblCellMar>
          <w:top w:w="0" w:type="dxa"/>
          <w:left w:w="0" w:type="dxa"/>
          <w:bottom w:w="0" w:type="dxa"/>
          <w:right w:w="0" w:type="dxa"/>
        </w:tblCellMar>
      </w:tblPr>
      <w:tblGrid>
        <w:gridCol w:w="23"/>
        <w:gridCol w:w="149"/>
        <w:gridCol w:w="10033"/>
      </w:tblGrid>
      <w:tr>
        <w:trPr/>
        <w:tc>
          <w:tcPr>
            <w:tcW w:w="23"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rFonts w:ascii="Arial;Helvetica;sans-serif" w:hAnsi="Arial;Helvetica;sans-serif"/>
                <w:sz w:val="22"/>
              </w:rPr>
            </w:pPr>
            <w:r>
              <w:rPr>
                <w:rFonts w:ascii="Arial;Helvetica;sans-serif" w:hAnsi="Arial;Helvetica;sans-serif"/>
                <w:sz w:val="22"/>
              </w:rPr>
              <w:t>2.</w:t>
            </w:r>
          </w:p>
        </w:tc>
        <w:tc>
          <w:tcPr>
            <w:tcW w:w="10033" w:type="dxa"/>
            <w:tcBorders/>
            <w:vAlign w:val="center"/>
          </w:tcPr>
          <w:p>
            <w:pPr>
              <w:pStyle w:val="TableContents"/>
              <w:bidi w:val="0"/>
              <w:spacing w:before="0" w:after="283"/>
              <w:jc w:val="left"/>
              <w:rPr>
                <w:rFonts w:ascii="Arial;Helvetica;sans-serif" w:hAnsi="Arial;Helvetica;sans-serif"/>
                <w:b w:val="false"/>
                <w:i w:val="false"/>
                <w:caps w:val="false"/>
                <w:smallCaps w:val="false"/>
                <w:sz w:val="22"/>
              </w:rPr>
            </w:pPr>
            <w:r>
              <w:rPr>
                <w:rFonts w:ascii="Arial;Helvetica;sans-serif" w:hAnsi="Arial;Helvetica;sans-serif"/>
                <w:b w:val="false"/>
                <w:i w:val="false"/>
                <w:caps w:val="false"/>
                <w:smallCaps w:val="false"/>
                <w:sz w:val="22"/>
              </w:rPr>
              <w:t>Final Invoice and Payment. Any price adjustment which may be necessary as a result of the outcome of RBT's analysis of the Official Sample shall be embodied in a final invoice that will be forwarded to Buyer along with the certificate of analysis signed by RBT within [***] of completion of loading. In the event of a debit to Buyer, the final invoice shall be presented, and payment by Buyer shall be effected, in the same manner as detailed in Article VIII.B.1. above. In the event of a credit to Buyer, RBT shall remit the relevant amount to Buyer by telegraphic transfer within [***] of the date of the final invoice.</w:t>
            </w:r>
          </w:p>
        </w:tc>
      </w:tr>
    </w:tbl>
    <w:p>
      <w:pPr>
        <w:pStyle w:val="TextBody"/>
        <w:bidi w:val="0"/>
        <w:spacing w:before="0" w:after="0"/>
        <w:ind w:left="0" w:right="0" w:hanging="0"/>
        <w:jc w:val="both"/>
        <w:rPr/>
      </w:pPr>
      <w:r>
        <w:rPr/>
        <w:t>​</w:t>
      </w:r>
    </w:p>
    <w:tbl>
      <w:tblPr>
        <w:tblW w:w="8313" w:type="dxa"/>
        <w:jc w:val="left"/>
        <w:tblInd w:w="0" w:type="dxa"/>
        <w:tblLayout w:type="fixed"/>
        <w:tblCellMar>
          <w:top w:w="0" w:type="dxa"/>
          <w:left w:w="0" w:type="dxa"/>
          <w:bottom w:w="0" w:type="dxa"/>
          <w:right w:w="0" w:type="dxa"/>
        </w:tblCellMar>
      </w:tblPr>
      <w:tblGrid>
        <w:gridCol w:w="23"/>
        <w:gridCol w:w="245"/>
        <w:gridCol w:w="8045"/>
      </w:tblGrid>
      <w:tr>
        <w:trPr/>
        <w:tc>
          <w:tcPr>
            <w:tcW w:w="23"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0"/>
              <w:jc w:val="both"/>
              <w:rPr>
                <w:rFonts w:ascii="Arial;Helvetica;sans-serif" w:hAnsi="Arial;Helvetica;sans-serif"/>
                <w:sz w:val="22"/>
              </w:rPr>
            </w:pPr>
            <w:r>
              <w:rPr>
                <w:rFonts w:ascii="Arial;Helvetica;sans-serif" w:hAnsi="Arial;Helvetica;sans-serif"/>
                <w:sz w:val="22"/>
              </w:rPr>
              <w:t>C.</w:t>
            </w:r>
          </w:p>
        </w:tc>
        <w:tc>
          <w:tcPr>
            <w:tcW w:w="8045" w:type="dxa"/>
            <w:tcBorders/>
            <w:vAlign w:val="center"/>
          </w:tcPr>
          <w:p>
            <w:pPr>
              <w:pStyle w:val="TableContents"/>
              <w:bidi w:val="0"/>
              <w:spacing w:before="0" w:after="0"/>
              <w:jc w:val="both"/>
              <w:rPr>
                <w:rFonts w:ascii="Arial;Helvetica;sans-serif" w:hAnsi="Arial;Helvetica;sans-serif"/>
                <w:sz w:val="22"/>
              </w:rPr>
            </w:pPr>
            <w:r>
              <w:rPr>
                <w:rFonts w:ascii="Arial;Helvetica;sans-serif" w:hAnsi="Arial;Helvetica;sans-serif"/>
                <w:sz w:val="22"/>
              </w:rPr>
              <w:t xml:space="preserve">Other Invoices and Payments. Payment of other amounts due hereunder, such as </w:t>
            </w:r>
          </w:p>
        </w:tc>
      </w:tr>
    </w:tbl>
    <w:p>
      <w:pPr>
        <w:pStyle w:val="TextBody"/>
        <w:bidi w:val="0"/>
        <w:spacing w:before="0" w:after="0"/>
        <w:ind w:left="0" w:right="0" w:hanging="0"/>
        <w:jc w:val="center"/>
        <w:rPr>
          <w:rFonts w:ascii="Arial;Helvetica;sans-serif" w:hAnsi="Arial;Helvetica;sans-serif"/>
          <w:caps/>
          <w:sz w:val="20"/>
        </w:rPr>
      </w:pPr>
      <w:r>
        <w:rPr>
          <w:rFonts w:ascii="Arial;Helvetica;sans-serif" w:hAnsi="Arial;Helvetica;sans-serif"/>
          <w:caps/>
          <w:sz w:val="20"/>
        </w:rPr>
        <w:t>7</w:t>
      </w:r>
    </w:p>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0"/>
        <w:ind w:left="993" w:right="0" w:hanging="0"/>
        <w:jc w:val="both"/>
        <w:rPr>
          <w:rFonts w:ascii="Arial;Helvetica;sans-serif" w:hAnsi="Arial;Helvetica;sans-serif"/>
          <w:sz w:val="22"/>
        </w:rPr>
      </w:pPr>
      <w:r>
        <w:rPr>
          <w:rFonts w:ascii="Arial;Helvetica;sans-serif" w:hAnsi="Arial;Helvetica;sans-serif"/>
          <w:sz w:val="22"/>
        </w:rPr>
        <w:t>the fees referred to in Articles XI.B.2 and XI.C.5 shall be made by Buyer to RBT within [***] of Buyer's receipt of an invoice for such amounts.</w:t>
      </w:r>
    </w:p>
    <w:p>
      <w:pPr>
        <w:pStyle w:val="TextBody"/>
        <w:pBdr/>
        <w:bidi w:val="0"/>
        <w:spacing w:before="0" w:after="0"/>
        <w:ind w:left="0" w:right="0" w:hanging="630"/>
        <w:jc w:val="left"/>
        <w:rPr>
          <w:spacing w:val="5"/>
        </w:rPr>
      </w:pPr>
      <w:r>
        <w:rPr>
          <w:spacing w:val="5"/>
        </w:rPr>
        <w:t>​</w:t>
      </w:r>
    </w:p>
    <w:p>
      <w:pPr>
        <w:pStyle w:val="TextBody"/>
        <w:bidi w:val="0"/>
        <w:spacing w:before="0" w:after="0"/>
        <w:ind w:left="0" w:right="0" w:hanging="0"/>
        <w:jc w:val="left"/>
        <w:rPr>
          <w:spacing w:val="5"/>
        </w:rPr>
      </w:pPr>
      <w:r>
        <w:rPr>
          <w:spacing w:val="5"/>
        </w:rPr>
        <w:t>​</w:t>
      </w:r>
    </w:p>
    <w:p>
      <w:pPr>
        <w:pStyle w:val="TextBody"/>
        <w:bidi w:val="0"/>
        <w:spacing w:before="0" w:after="0"/>
        <w:ind w:left="720" w:right="72" w:hanging="0"/>
        <w:jc w:val="both"/>
        <w:rPr>
          <w:color w:val="191919"/>
        </w:rPr>
      </w:pPr>
      <w:r>
        <w:rPr>
          <w:color w:val="191919"/>
        </w:rPr>
        <w:t>​</w:t>
      </w:r>
    </w:p>
    <w:p>
      <w:pPr>
        <w:pStyle w:val="TextBody"/>
        <w:bidi w:val="0"/>
        <w:spacing w:before="0" w:after="0"/>
        <w:ind w:left="0" w:right="0" w:hanging="0"/>
        <w:jc w:val="left"/>
        <w:rPr>
          <w:rFonts w:ascii="Arial;Helvetica;sans-serif" w:hAnsi="Arial;Helvetica;sans-serif"/>
          <w:b/>
          <w:spacing w:val="4"/>
          <w:sz w:val="22"/>
        </w:rPr>
      </w:pPr>
      <w:r>
        <w:rPr>
          <w:rFonts w:ascii="Arial;Helvetica;sans-serif" w:hAnsi="Arial;Helvetica;sans-serif"/>
          <w:b/>
          <w:spacing w:val="4"/>
          <w:sz w:val="22"/>
        </w:rPr>
        <w:t>ARTICLE IX. SPECIFICATIONS</w:t>
      </w:r>
    </w:p>
    <w:p>
      <w:pPr>
        <w:pStyle w:val="TextBody"/>
        <w:bidi w:val="0"/>
        <w:spacing w:before="0" w:after="0"/>
        <w:ind w:left="0" w:right="0" w:hanging="0"/>
        <w:jc w:val="left"/>
        <w:rPr>
          <w:spacing w:val="4"/>
        </w:rPr>
      </w:pPr>
      <w:r>
        <w:rPr>
          <w:spacing w:val="4"/>
        </w:rPr>
        <w:t>​</w:t>
      </w:r>
    </w:p>
    <w:tbl>
      <w:tblPr>
        <w:tblW w:w="10205" w:type="dxa"/>
        <w:jc w:val="left"/>
        <w:tblInd w:w="0" w:type="dxa"/>
        <w:tblLayout w:type="fixed"/>
        <w:tblCellMar>
          <w:top w:w="0" w:type="dxa"/>
          <w:left w:w="0" w:type="dxa"/>
          <w:bottom w:w="0" w:type="dxa"/>
          <w:right w:w="0" w:type="dxa"/>
        </w:tblCellMar>
      </w:tblPr>
      <w:tblGrid>
        <w:gridCol w:w="230"/>
        <w:gridCol w:w="9975"/>
      </w:tblGrid>
      <w:tr>
        <w:trPr/>
        <w:tc>
          <w:tcPr>
            <w:tcW w:w="230" w:type="dxa"/>
            <w:tcBorders/>
            <w:vAlign w:val="center"/>
          </w:tcPr>
          <w:p>
            <w:pPr>
              <w:pStyle w:val="TableContents"/>
              <w:bidi w:val="0"/>
              <w:spacing w:before="0" w:after="283"/>
              <w:jc w:val="left"/>
              <w:rPr>
                <w:rFonts w:ascii="Arial;Helvetica;sans-serif" w:hAnsi="Arial;Helvetica;sans-serif"/>
                <w:sz w:val="22"/>
              </w:rPr>
            </w:pPr>
            <w:r>
              <w:rPr>
                <w:rFonts w:ascii="Arial;Helvetica;sans-serif" w:hAnsi="Arial;Helvetica;sans-serif"/>
                <w:sz w:val="22"/>
              </w:rPr>
              <w:t>A.</w:t>
            </w:r>
          </w:p>
        </w:tc>
        <w:tc>
          <w:tcPr>
            <w:tcW w:w="9975" w:type="dxa"/>
            <w:tcBorders/>
            <w:vAlign w:val="center"/>
          </w:tcPr>
          <w:p>
            <w:pPr>
              <w:pStyle w:val="TableContents"/>
              <w:bidi w:val="0"/>
              <w:spacing w:before="0" w:after="283"/>
              <w:jc w:val="left"/>
              <w:rPr>
                <w:rFonts w:ascii="Arial;Helvetica;sans-serif" w:hAnsi="Arial;Helvetica;sans-serif"/>
                <w:b w:val="false"/>
                <w:i w:val="false"/>
                <w:caps w:val="false"/>
                <w:smallCaps w:val="false"/>
                <w:sz w:val="22"/>
              </w:rPr>
            </w:pPr>
            <w:r>
              <w:rPr>
                <w:rFonts w:ascii="Arial;Helvetica;sans-serif" w:hAnsi="Arial;Helvetica;sans-serif"/>
                <w:b w:val="false"/>
                <w:i w:val="false"/>
                <w:caps w:val="false"/>
                <w:smallCaps w:val="false"/>
                <w:sz w:val="22"/>
              </w:rPr>
              <w:t>The Product shall contain at least [***]%, but typically [***]% equivalent TiO2 by weight, determined as set forth in Article XI hereof.</w:t>
            </w:r>
          </w:p>
        </w:tc>
      </w:tr>
    </w:tbl>
    <w:p>
      <w:pPr>
        <w:pStyle w:val="TextBody"/>
        <w:bidi w:val="0"/>
        <w:spacing w:before="0" w:after="0"/>
        <w:ind w:left="1005" w:right="0" w:hanging="0"/>
        <w:jc w:val="both"/>
        <w:rPr/>
      </w:pPr>
      <w:r>
        <w:rPr/>
        <w:t>​</w:t>
      </w:r>
    </w:p>
    <w:p>
      <w:pPr>
        <w:pStyle w:val="TextBody"/>
        <w:bidi w:val="0"/>
        <w:spacing w:before="0" w:after="0"/>
        <w:ind w:left="0" w:right="0" w:hanging="0"/>
        <w:jc w:val="left"/>
        <w:rPr>
          <w:rFonts w:ascii="Times New Roman;Times;serif" w:hAnsi="Times New Roman;Times;serif"/>
          <w:sz w:val="20"/>
        </w:rPr>
      </w:pPr>
      <w:r>
        <w:rPr>
          <w:rFonts w:ascii="Arial;Helvetica;sans-serif" w:hAnsi="Arial;Helvetica;sans-serif"/>
          <w:b w:val="false"/>
          <w:i w:val="false"/>
          <w:caps w:val="false"/>
          <w:smallCaps w:val="false"/>
          <w:spacing w:val="-3"/>
          <w:sz w:val="22"/>
        </w:rPr>
        <w:t>B.</w:t>
      </w:r>
      <w:r>
        <w:rPr>
          <w:rFonts w:ascii="Arial;Helvetica;sans-serif" w:hAnsi="Arial;Helvetica;sans-serif"/>
          <w:spacing w:val="-3"/>
          <w:sz w:val="22"/>
        </w:rPr>
        <w:t>The Product shall meet the following specifications:</w:t>
      </w:r>
    </w:p>
    <w:p>
      <w:pPr>
        <w:pStyle w:val="TextBody"/>
        <w:bidi w:val="0"/>
        <w:spacing w:before="0" w:after="0"/>
        <w:ind w:left="1440" w:right="0" w:hanging="0"/>
        <w:jc w:val="left"/>
        <w:rPr>
          <w:rFonts w:ascii="Arial;Helvetica;sans-serif" w:hAnsi="Arial;Helvetica;sans-serif"/>
          <w:spacing w:val="-3"/>
          <w:sz w:val="22"/>
        </w:rPr>
      </w:pPr>
      <w:r>
        <w:rPr>
          <w:rFonts w:ascii="Arial;Helvetica;sans-serif" w:hAnsi="Arial;Helvetica;sans-serif"/>
          <w:spacing w:val="-3"/>
          <w:sz w:val="22"/>
        </w:rPr>
        <w:t>[***]</w:t>
      </w:r>
    </w:p>
    <w:p>
      <w:pPr>
        <w:pStyle w:val="TextBody"/>
        <w:pBdr/>
        <w:bidi w:val="0"/>
        <w:spacing w:before="0" w:after="0"/>
        <w:ind w:left="720" w:right="0" w:hanging="720"/>
        <w:jc w:val="left"/>
        <w:rPr>
          <w:spacing w:val="-3"/>
        </w:rPr>
      </w:pPr>
      <w:r>
        <w:rPr>
          <w:spacing w:val="-3"/>
        </w:rPr>
        <w:t>​</w:t>
      </w:r>
    </w:p>
    <w:p>
      <w:pPr>
        <w:pStyle w:val="TextBody"/>
        <w:bidi w:val="0"/>
        <w:spacing w:before="0" w:after="0"/>
        <w:ind w:left="0" w:right="0" w:hanging="0"/>
        <w:jc w:val="left"/>
        <w:rPr>
          <w:rFonts w:ascii="Times New Roman;Times;serif" w:hAnsi="Times New Roman;Times;serif"/>
          <w:sz w:val="20"/>
        </w:rPr>
      </w:pPr>
      <w:r>
        <w:rPr>
          <w:rFonts w:ascii="Arial;Helvetica;sans-serif" w:hAnsi="Arial;Helvetica;sans-serif"/>
          <w:b w:val="false"/>
          <w:i w:val="false"/>
          <w:caps w:val="false"/>
          <w:smallCaps w:val="false"/>
          <w:spacing w:val="-3"/>
          <w:sz w:val="22"/>
        </w:rPr>
        <w:t>C.</w:t>
      </w:r>
      <w:r>
        <w:rPr>
          <w:rFonts w:ascii="Arial;Helvetica;sans-serif" w:hAnsi="Arial;Helvetica;sans-serif"/>
          <w:spacing w:val="-3"/>
          <w:sz w:val="22"/>
        </w:rPr>
        <w:t>The product shall meet the following typical sizing specifications:</w:t>
      </w:r>
    </w:p>
    <w:p>
      <w:pPr>
        <w:pStyle w:val="TextBody"/>
        <w:bidi w:val="0"/>
        <w:spacing w:before="0" w:after="0"/>
        <w:ind w:left="1440" w:right="0" w:hanging="0"/>
        <w:jc w:val="left"/>
        <w:rPr>
          <w:rFonts w:ascii="Arial;Helvetica;sans-serif" w:hAnsi="Arial;Helvetica;sans-serif"/>
          <w:sz w:val="22"/>
        </w:rPr>
      </w:pPr>
      <w:r>
        <w:rPr>
          <w:rFonts w:ascii="Arial;Helvetica;sans-serif" w:hAnsi="Arial;Helvetica;sans-serif"/>
          <w:sz w:val="22"/>
        </w:rPr>
        <w:t>[***]</w:t>
      </w:r>
    </w:p>
    <w:p>
      <w:pPr>
        <w:pStyle w:val="TextBody"/>
        <w:bidi w:val="0"/>
        <w:spacing w:before="0" w:after="0"/>
        <w:ind w:left="72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245"/>
        <w:gridCol w:w="9960"/>
      </w:tblGrid>
      <w:tr>
        <w:trPr/>
        <w:tc>
          <w:tcPr>
            <w:tcW w:w="245" w:type="dxa"/>
            <w:tcBorders/>
            <w:vAlign w:val="center"/>
          </w:tcPr>
          <w:p>
            <w:pPr>
              <w:pStyle w:val="TableContents"/>
              <w:bidi w:val="0"/>
              <w:spacing w:before="0" w:after="283"/>
              <w:jc w:val="left"/>
              <w:rPr>
                <w:rFonts w:ascii="Arial;Helvetica;sans-serif" w:hAnsi="Arial;Helvetica;sans-serif"/>
                <w:sz w:val="22"/>
              </w:rPr>
            </w:pPr>
            <w:r>
              <w:rPr>
                <w:rFonts w:ascii="Arial;Helvetica;sans-serif" w:hAnsi="Arial;Helvetica;sans-serif"/>
                <w:sz w:val="22"/>
              </w:rPr>
              <w:t>D.</w:t>
            </w:r>
          </w:p>
        </w:tc>
        <w:tc>
          <w:tcPr>
            <w:tcW w:w="9960" w:type="dxa"/>
            <w:tcBorders/>
            <w:vAlign w:val="center"/>
          </w:tcPr>
          <w:p>
            <w:pPr>
              <w:pStyle w:val="TableContents"/>
              <w:bidi w:val="0"/>
              <w:spacing w:before="0" w:after="283"/>
              <w:jc w:val="left"/>
              <w:rPr>
                <w:rFonts w:ascii="Arial;Helvetica;sans-serif" w:hAnsi="Arial;Helvetica;sans-serif"/>
                <w:b w:val="false"/>
                <w:i w:val="false"/>
                <w:caps w:val="false"/>
                <w:smallCaps w:val="false"/>
                <w:sz w:val="22"/>
              </w:rPr>
            </w:pPr>
            <w:r>
              <w:rPr>
                <w:rFonts w:ascii="Arial;Helvetica;sans-serif" w:hAnsi="Arial;Helvetica;sans-serif"/>
                <w:b w:val="false"/>
                <w:i w:val="false"/>
                <w:caps w:val="false"/>
                <w:smallCaps w:val="false"/>
                <w:sz w:val="22"/>
              </w:rPr>
              <w:t>The specifications set out in Article IX.A., IX.B. and IX.C. shall be referred to in this Agreement as the "Specifications".</w:t>
            </w:r>
          </w:p>
        </w:tc>
      </w:tr>
    </w:tbl>
    <w:p>
      <w:pPr>
        <w:pStyle w:val="TextBody"/>
        <w:bidi w:val="0"/>
        <w:spacing w:before="0" w:after="0"/>
        <w:ind w:left="720" w:right="0" w:hanging="0"/>
        <w:jc w:val="both"/>
        <w:rPr/>
      </w:pPr>
      <w:r>
        <w:rPr/>
        <w:t>​</w:t>
      </w:r>
    </w:p>
    <w:p>
      <w:pPr>
        <w:pStyle w:val="TextBody"/>
        <w:bidi w:val="0"/>
        <w:spacing w:before="0" w:after="0"/>
        <w:ind w:left="720" w:right="0" w:hanging="0"/>
        <w:jc w:val="both"/>
        <w:rPr/>
      </w:pPr>
      <w:r>
        <w:rPr/>
        <w:t>​</w:t>
      </w:r>
    </w:p>
    <w:p>
      <w:pPr>
        <w:pStyle w:val="TextBody"/>
        <w:bidi w:val="0"/>
        <w:spacing w:before="0" w:after="0"/>
        <w:ind w:left="0" w:right="0" w:hanging="0"/>
        <w:jc w:val="left"/>
        <w:rPr>
          <w:rFonts w:ascii="Arial;Helvetica;sans-serif" w:hAnsi="Arial;Helvetica;sans-serif"/>
          <w:b/>
          <w:spacing w:val="5"/>
          <w:sz w:val="22"/>
        </w:rPr>
      </w:pPr>
      <w:r>
        <w:rPr>
          <w:rFonts w:ascii="Arial;Helvetica;sans-serif" w:hAnsi="Arial;Helvetica;sans-serif"/>
          <w:b/>
          <w:spacing w:val="5"/>
          <w:sz w:val="22"/>
        </w:rPr>
        <w:t>ARTICLE X. WARRANTY</w:t>
      </w:r>
    </w:p>
    <w:p>
      <w:pPr>
        <w:pStyle w:val="TextBody"/>
        <w:bidi w:val="0"/>
        <w:spacing w:before="0" w:after="0"/>
        <w:ind w:left="0" w:right="0" w:hanging="0"/>
        <w:jc w:val="left"/>
        <w:rPr>
          <w:spacing w:val="5"/>
        </w:rPr>
      </w:pPr>
      <w:r>
        <w:rPr>
          <w:spacing w:val="5"/>
        </w:rPr>
        <w:t>​</w:t>
      </w:r>
    </w:p>
    <w:tbl>
      <w:tblPr>
        <w:tblW w:w="10205" w:type="dxa"/>
        <w:jc w:val="left"/>
        <w:tblInd w:w="0" w:type="dxa"/>
        <w:tblLayout w:type="fixed"/>
        <w:tblCellMar>
          <w:top w:w="0" w:type="dxa"/>
          <w:left w:w="0" w:type="dxa"/>
          <w:bottom w:w="0" w:type="dxa"/>
          <w:right w:w="0" w:type="dxa"/>
        </w:tblCellMar>
      </w:tblPr>
      <w:tblGrid>
        <w:gridCol w:w="230"/>
        <w:gridCol w:w="9975"/>
      </w:tblGrid>
      <w:tr>
        <w:trPr/>
        <w:tc>
          <w:tcPr>
            <w:tcW w:w="230" w:type="dxa"/>
            <w:tcBorders/>
            <w:vAlign w:val="center"/>
          </w:tcPr>
          <w:p>
            <w:pPr>
              <w:pStyle w:val="TableContents"/>
              <w:bidi w:val="0"/>
              <w:spacing w:before="0" w:after="283"/>
              <w:jc w:val="left"/>
              <w:rPr>
                <w:rFonts w:ascii="Arial;Helvetica;sans-serif" w:hAnsi="Arial;Helvetica;sans-serif"/>
                <w:sz w:val="22"/>
              </w:rPr>
            </w:pPr>
            <w:r>
              <w:rPr>
                <w:rFonts w:ascii="Arial;Helvetica;sans-serif" w:hAnsi="Arial;Helvetica;sans-serif"/>
                <w:sz w:val="22"/>
              </w:rPr>
              <w:t>A.</w:t>
            </w:r>
          </w:p>
        </w:tc>
        <w:tc>
          <w:tcPr>
            <w:tcW w:w="9975" w:type="dxa"/>
            <w:tcBorders/>
            <w:vAlign w:val="center"/>
          </w:tcPr>
          <w:p>
            <w:pPr>
              <w:pStyle w:val="TableContents"/>
              <w:bidi w:val="0"/>
              <w:spacing w:before="0" w:after="283"/>
              <w:jc w:val="left"/>
              <w:rPr>
                <w:rFonts w:ascii="Arial;Helvetica;sans-serif" w:hAnsi="Arial;Helvetica;sans-serif"/>
                <w:b w:val="false"/>
                <w:i w:val="false"/>
                <w:caps w:val="false"/>
                <w:smallCaps w:val="false"/>
                <w:sz w:val="22"/>
              </w:rPr>
            </w:pPr>
            <w:r>
              <w:rPr>
                <w:rFonts w:ascii="Arial;Helvetica;sans-serif" w:hAnsi="Arial;Helvetica;sans-serif"/>
                <w:b w:val="false"/>
                <w:i w:val="false"/>
                <w:caps w:val="false"/>
                <w:smallCaps w:val="false"/>
                <w:sz w:val="22"/>
              </w:rPr>
              <w:t>RBT warrants that Product sold and delivered hereunder shall conform to the Specifications set forth in Article IX, hereof.</w:t>
            </w:r>
          </w:p>
        </w:tc>
      </w:tr>
    </w:tbl>
    <w:p>
      <w:pPr>
        <w:pStyle w:val="TextBody"/>
        <w:bidi w:val="0"/>
        <w:spacing w:before="0" w:after="0"/>
        <w:ind w:left="0" w:right="0" w:hanging="0"/>
        <w:jc w:val="both"/>
        <w:rPr/>
      </w:pPr>
      <w:r>
        <w:rPr/>
        <w:t>​</w:t>
      </w:r>
    </w:p>
    <w:tbl>
      <w:tblPr>
        <w:tblW w:w="10205" w:type="dxa"/>
        <w:jc w:val="left"/>
        <w:tblInd w:w="0" w:type="dxa"/>
        <w:tblLayout w:type="fixed"/>
        <w:tblCellMar>
          <w:top w:w="0" w:type="dxa"/>
          <w:left w:w="0" w:type="dxa"/>
          <w:bottom w:w="0" w:type="dxa"/>
          <w:right w:w="0" w:type="dxa"/>
        </w:tblCellMar>
      </w:tblPr>
      <w:tblGrid>
        <w:gridCol w:w="230"/>
        <w:gridCol w:w="9952"/>
        <w:gridCol w:w="23"/>
      </w:tblGrid>
      <w:tr>
        <w:trPr/>
        <w:tc>
          <w:tcPr>
            <w:tcW w:w="230" w:type="dxa"/>
            <w:tcBorders/>
            <w:vAlign w:val="center"/>
          </w:tcPr>
          <w:p>
            <w:pPr>
              <w:pStyle w:val="TableContents"/>
              <w:bidi w:val="0"/>
              <w:spacing w:before="0" w:after="283"/>
              <w:jc w:val="left"/>
              <w:rPr>
                <w:rFonts w:ascii="Arial;Helvetica;sans-serif" w:hAnsi="Arial;Helvetica;sans-serif"/>
                <w:sz w:val="22"/>
              </w:rPr>
            </w:pPr>
            <w:r>
              <w:rPr>
                <w:rFonts w:ascii="Arial;Helvetica;sans-serif" w:hAnsi="Arial;Helvetica;sans-serif"/>
                <w:sz w:val="22"/>
              </w:rPr>
              <w:t>B.</w:t>
            </w:r>
          </w:p>
        </w:tc>
        <w:tc>
          <w:tcPr>
            <w:tcW w:w="9952" w:type="dxa"/>
            <w:tcBorders/>
            <w:vAlign w:val="center"/>
          </w:tcPr>
          <w:p>
            <w:pPr>
              <w:pStyle w:val="TableContents"/>
              <w:bidi w:val="0"/>
              <w:spacing w:before="0" w:after="283"/>
              <w:jc w:val="left"/>
              <w:rPr/>
            </w:pPr>
            <w:r>
              <w:rPr>
                <w:rFonts w:ascii="Arial;Helvetica;sans-serif" w:hAnsi="Arial;Helvetica;sans-serif"/>
                <w:b w:val="false"/>
                <w:i w:val="false"/>
                <w:caps w:val="false"/>
                <w:smallCaps w:val="false"/>
                <w:spacing w:val="-5"/>
                <w:sz w:val="22"/>
              </w:rPr>
              <w:t xml:space="preserve">In the event that any Product sold and delivered hereunder does not conform to said Specifications and in the event the parties are unable to agree on an equitable adjustment, RBT shall, at its cost and expense, including freight, insurance and handling costs, remove or otherwise dispose of such nonconforming Product from Buyer's location and replace it with an equivalent quantity of Product at Buyer's plant which meets the Specifications within [***]. RBT's obligation to remove or dispose of and replace nonconforming Product shall not be applicable in the event Buyer fails to give notice to RBT of such nonconforming Product as provided for in Article XI. Buyer may terminate the Agreement should RBT fail to deliver conforming Product within </w:t>
            </w:r>
            <w:r>
              <w:rPr>
                <w:rFonts w:ascii="Arial;Helvetica;sans-serif" w:hAnsi="Arial;Helvetica;sans-serif"/>
                <w:b w:val="false"/>
                <w:i w:val="false"/>
                <w:caps w:val="false"/>
                <w:smallCaps w:val="false"/>
                <w:sz w:val="22"/>
              </w:rPr>
              <w:t>[***].</w:t>
            </w:r>
          </w:p>
        </w:tc>
        <w:tc>
          <w:tcPr>
            <w:tcW w:w="23"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72" w:hanging="0"/>
        <w:jc w:val="both"/>
        <w:rPr/>
      </w:pPr>
      <w:r>
        <w:rPr/>
        <w:t>​</w:t>
      </w:r>
    </w:p>
    <w:p>
      <w:pPr>
        <w:pStyle w:val="TextBody"/>
        <w:bidi w:val="0"/>
        <w:spacing w:before="0" w:after="0"/>
        <w:ind w:left="720" w:right="72" w:hanging="0"/>
        <w:jc w:val="both"/>
        <w:rPr>
          <w:rFonts w:ascii="Arial;Helvetica;sans-serif" w:hAnsi="Arial;Helvetica;sans-serif"/>
          <w:spacing w:val="-3"/>
          <w:sz w:val="22"/>
        </w:rPr>
      </w:pPr>
      <w:r>
        <w:rPr>
          <w:rFonts w:ascii="Arial;Helvetica;sans-serif" w:hAnsi="Arial;Helvetica;sans-serif"/>
          <w:spacing w:val="-3"/>
          <w:sz w:val="22"/>
        </w:rPr>
        <w:t>The warranty and remedy expressed in this Article X is the sole and exclusive warranty made by RBT with respect to the Product to be delivered under this Agreement. RBT makes no other warranty, express, implied (including any warranty of merchantability or fitness for a particular purpose), statutory or otherwise.</w:t>
      </w:r>
    </w:p>
    <w:p>
      <w:pPr>
        <w:pStyle w:val="TextBody"/>
        <w:bidi w:val="0"/>
        <w:spacing w:before="0" w:after="0"/>
        <w:ind w:left="720" w:right="72" w:hanging="0"/>
        <w:jc w:val="both"/>
        <w:rPr>
          <w:spacing w:val="-3"/>
        </w:rPr>
      </w:pPr>
      <w:r>
        <w:rPr>
          <w:spacing w:val="-3"/>
        </w:rPr>
        <w:t>​</w:t>
      </w:r>
    </w:p>
    <w:tbl>
      <w:tblPr>
        <w:tblW w:w="10205" w:type="dxa"/>
        <w:jc w:val="left"/>
        <w:tblInd w:w="0" w:type="dxa"/>
        <w:tblLayout w:type="fixed"/>
        <w:tblCellMar>
          <w:top w:w="0" w:type="dxa"/>
          <w:left w:w="0" w:type="dxa"/>
          <w:bottom w:w="0" w:type="dxa"/>
          <w:right w:w="0" w:type="dxa"/>
        </w:tblCellMar>
      </w:tblPr>
      <w:tblGrid>
        <w:gridCol w:w="23"/>
        <w:gridCol w:w="245"/>
        <w:gridCol w:w="9914"/>
        <w:gridCol w:w="23"/>
      </w:tblGrid>
      <w:tr>
        <w:trPr/>
        <w:tc>
          <w:tcPr>
            <w:tcW w:w="23"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rFonts w:ascii="Arial;Helvetica;sans-serif" w:hAnsi="Arial;Helvetica;sans-serif"/>
                <w:sz w:val="23"/>
              </w:rPr>
            </w:pPr>
            <w:r>
              <w:rPr>
                <w:rFonts w:ascii="Arial;Helvetica;sans-serif" w:hAnsi="Arial;Helvetica;sans-serif"/>
                <w:sz w:val="23"/>
              </w:rPr>
              <w:t>C.</w:t>
            </w:r>
          </w:p>
        </w:tc>
        <w:tc>
          <w:tcPr>
            <w:tcW w:w="9914" w:type="dxa"/>
            <w:tcBorders/>
            <w:vAlign w:val="center"/>
          </w:tcPr>
          <w:p>
            <w:pPr>
              <w:pStyle w:val="TableContents"/>
              <w:bidi w:val="0"/>
              <w:spacing w:before="0" w:after="283"/>
              <w:jc w:val="left"/>
              <w:rPr>
                <w:rFonts w:ascii="Arial;Helvetica;sans-serif" w:hAnsi="Arial;Helvetica;sans-serif"/>
                <w:b w:val="false"/>
                <w:i w:val="false"/>
                <w:caps w:val="false"/>
                <w:smallCaps w:val="false"/>
                <w:spacing w:val="-4"/>
                <w:sz w:val="22"/>
              </w:rPr>
            </w:pPr>
            <w:r>
              <w:rPr>
                <w:rFonts w:ascii="Arial;Helvetica;sans-serif" w:hAnsi="Arial;Helvetica;sans-serif"/>
                <w:b w:val="false"/>
                <w:i w:val="false"/>
                <w:caps w:val="false"/>
                <w:smallCaps w:val="false"/>
                <w:spacing w:val="-4"/>
                <w:sz w:val="22"/>
              </w:rPr>
              <w:t>RBT shall not be responsible for any damage, direct, indirect, consequential or incidental relating directly or indirectly to the use, sale and/or resale of any Product. RBT's sole obligation in the event of delivery of nonconforming Product shall be that set forth in this Article X. Buyer agrees to indemnify and hold RBT harmless from and against any claims, losses, damages, costs, expenses or liability of whatsoever nature from third parties arising out of or in connection with such use, sale and/or resale of any Product.</w:t>
            </w:r>
          </w:p>
        </w:tc>
        <w:tc>
          <w:tcPr>
            <w:tcW w:w="23"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720" w:right="72" w:hanging="0"/>
        <w:jc w:val="both"/>
        <w:rPr>
          <w:spacing w:val="-4"/>
        </w:rPr>
      </w:pPr>
      <w:r>
        <w:rPr>
          <w:spacing w:val="-4"/>
        </w:rPr>
        <w:t>​</w:t>
      </w:r>
    </w:p>
    <w:p>
      <w:pPr>
        <w:pStyle w:val="TextBody"/>
        <w:bidi w:val="0"/>
        <w:spacing w:before="0" w:after="0"/>
        <w:ind w:left="72" w:right="72" w:hanging="0"/>
        <w:jc w:val="left"/>
        <w:rPr>
          <w:rFonts w:ascii="Arial;Helvetica;sans-serif" w:hAnsi="Arial;Helvetica;sans-serif"/>
          <w:b/>
          <w:spacing w:val="-2"/>
          <w:sz w:val="22"/>
        </w:rPr>
      </w:pPr>
      <w:r>
        <w:rPr>
          <w:rFonts w:ascii="Arial;Helvetica;sans-serif" w:hAnsi="Arial;Helvetica;sans-serif"/>
          <w:b/>
          <w:spacing w:val="-2"/>
          <w:sz w:val="22"/>
        </w:rPr>
        <w:t xml:space="preserve">ARTICLE XI. INSPECTION, WEIGHING, SAMPLING AND ANALYSIS </w:t>
      </w:r>
    </w:p>
    <w:p>
      <w:pPr>
        <w:pStyle w:val="TextBody"/>
        <w:bidi w:val="0"/>
        <w:spacing w:before="0" w:after="0"/>
        <w:ind w:left="72" w:right="72" w:hanging="0"/>
        <w:jc w:val="left"/>
        <w:rPr>
          <w:spacing w:val="-2"/>
        </w:rPr>
      </w:pPr>
      <w:r>
        <w:rPr>
          <w:spacing w:val="-2"/>
        </w:rPr>
        <w:t>​</w:t>
      </w:r>
    </w:p>
    <w:tbl>
      <w:tblPr>
        <w:tblW w:w="10205" w:type="dxa"/>
        <w:jc w:val="left"/>
        <w:tblInd w:w="0" w:type="dxa"/>
        <w:tblLayout w:type="fixed"/>
        <w:tblCellMar>
          <w:top w:w="0" w:type="dxa"/>
          <w:left w:w="0" w:type="dxa"/>
          <w:bottom w:w="0" w:type="dxa"/>
          <w:right w:w="0" w:type="dxa"/>
        </w:tblCellMar>
      </w:tblPr>
      <w:tblGrid>
        <w:gridCol w:w="23"/>
        <w:gridCol w:w="230"/>
        <w:gridCol w:w="9929"/>
        <w:gridCol w:w="23"/>
      </w:tblGrid>
      <w:tr>
        <w:trPr/>
        <w:tc>
          <w:tcPr>
            <w:tcW w:w="23"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rFonts w:ascii="Arial;Helvetica;sans-serif" w:hAnsi="Arial;Helvetica;sans-serif"/>
                <w:sz w:val="23"/>
              </w:rPr>
            </w:pPr>
            <w:r>
              <w:rPr>
                <w:rFonts w:ascii="Arial;Helvetica;sans-serif" w:hAnsi="Arial;Helvetica;sans-serif"/>
                <w:sz w:val="23"/>
              </w:rPr>
              <w:t>A.</w:t>
            </w:r>
          </w:p>
        </w:tc>
        <w:tc>
          <w:tcPr>
            <w:tcW w:w="9929" w:type="dxa"/>
            <w:tcBorders/>
            <w:vAlign w:val="center"/>
          </w:tcPr>
          <w:p>
            <w:pPr>
              <w:pStyle w:val="TableContents"/>
              <w:bidi w:val="0"/>
              <w:spacing w:before="0" w:after="283"/>
              <w:jc w:val="left"/>
              <w:rPr/>
            </w:pPr>
            <w:r>
              <w:rPr>
                <w:rFonts w:ascii="Arial;Helvetica;sans-serif" w:hAnsi="Arial;Helvetica;sans-serif"/>
                <w:b w:val="false"/>
                <w:i w:val="false"/>
                <w:caps w:val="false"/>
                <w:smallCaps w:val="false"/>
                <w:spacing w:val="-3"/>
                <w:sz w:val="22"/>
                <w:u w:val="single"/>
              </w:rPr>
              <w:t>Inspection and Weighing</w:t>
            </w:r>
            <w:r>
              <w:rPr>
                <w:rFonts w:ascii="Arial;Helvetica;sans-serif" w:hAnsi="Arial;Helvetica;sans-serif"/>
                <w:b w:val="false"/>
                <w:i w:val="false"/>
                <w:caps w:val="false"/>
                <w:smallCaps w:val="false"/>
                <w:spacing w:val="-3"/>
                <w:sz w:val="22"/>
              </w:rPr>
              <w:t xml:space="preserve">. Inspection of Buyer's Vessels' holds for cleanliness and protection and determination of weight of Product loaded aboard Buyer's Vessel, by draft survey, will be made by Capt. G.A. Chettles &amp; Assoc., a registered independent surveyor, or such other inspector acceptable to RBT and Buyer. The cost of such surveys shall be borne equally by RBT and Buyer and shall be included in RBT's commercial invoice referred to in Article VIII.A.1. Such surveyor shall be entitled to reject any vessel </w:t>
            </w:r>
          </w:p>
        </w:tc>
        <w:tc>
          <w:tcPr>
            <w:tcW w:w="23"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hanging="0"/>
        <w:jc w:val="center"/>
        <w:rPr>
          <w:rFonts w:ascii="Arial;Helvetica;sans-serif" w:hAnsi="Arial;Helvetica;sans-serif"/>
          <w:caps/>
          <w:sz w:val="20"/>
        </w:rPr>
      </w:pPr>
      <w:r>
        <w:rPr>
          <w:rFonts w:ascii="Arial;Helvetica;sans-serif" w:hAnsi="Arial;Helvetica;sans-serif"/>
          <w:caps/>
          <w:sz w:val="20"/>
        </w:rPr>
        <w:t>8</w:t>
      </w:r>
    </w:p>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tbl>
      <w:tblPr>
        <w:tblW w:w="10205" w:type="dxa"/>
        <w:jc w:val="left"/>
        <w:tblInd w:w="0" w:type="dxa"/>
        <w:tblLayout w:type="fixed"/>
        <w:tblCellMar>
          <w:top w:w="0" w:type="dxa"/>
          <w:left w:w="0" w:type="dxa"/>
          <w:bottom w:w="0" w:type="dxa"/>
          <w:right w:w="0" w:type="dxa"/>
        </w:tblCellMar>
      </w:tblPr>
      <w:tblGrid>
        <w:gridCol w:w="23"/>
        <w:gridCol w:w="23"/>
        <w:gridCol w:w="10136"/>
        <w:gridCol w:w="23"/>
      </w:tblGrid>
      <w:tr>
        <w:trPr/>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10136" w:type="dxa"/>
            <w:tcBorders/>
            <w:vAlign w:val="center"/>
          </w:tcPr>
          <w:p>
            <w:pPr>
              <w:pStyle w:val="TableContents"/>
              <w:bidi w:val="0"/>
              <w:spacing w:before="0" w:after="283"/>
              <w:jc w:val="left"/>
              <w:rPr>
                <w:rFonts w:ascii="Arial;Helvetica;sans-serif" w:hAnsi="Arial;Helvetica;sans-serif"/>
                <w:b w:val="false"/>
                <w:i w:val="false"/>
                <w:caps w:val="false"/>
                <w:smallCaps w:val="false"/>
                <w:spacing w:val="-3"/>
                <w:sz w:val="22"/>
              </w:rPr>
            </w:pPr>
            <w:r>
              <w:rPr>
                <w:rFonts w:ascii="Arial;Helvetica;sans-serif" w:hAnsi="Arial;Helvetica;sans-serif"/>
                <w:b w:val="false"/>
                <w:i w:val="false"/>
                <w:caps w:val="false"/>
                <w:smallCaps w:val="false"/>
                <w:spacing w:val="-3"/>
                <w:sz w:val="22"/>
              </w:rPr>
              <w:t>not found to be suitable for loading of Product, provided such surveyor sends to Buyer, by facsimile, the reasons for such rejection and his certification that the Buyer's Vessel as presented would not adequately protect the Product from contamination. Such rejection shall be for Buyer's account. Such surveyor shall determine the weight of Product loaded aboard Buyer's Vessel. The Product weight so determined, which includes moisture, shall, on the basis of the analyses of the Official Samples then be adjusted for the moisture content. The resulting dry weight shall be the basis on which Product is invoiced for payment.</w:t>
            </w:r>
          </w:p>
        </w:tc>
        <w:tc>
          <w:tcPr>
            <w:tcW w:w="23"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720" w:right="72" w:hanging="0"/>
        <w:jc w:val="both"/>
        <w:rPr>
          <w:spacing w:val="-3"/>
        </w:rPr>
      </w:pPr>
      <w:r>
        <w:rPr>
          <w:spacing w:val="-3"/>
        </w:rPr>
        <w:t>​</w:t>
      </w:r>
    </w:p>
    <w:tbl>
      <w:tblPr>
        <w:tblW w:w="10205" w:type="dxa"/>
        <w:jc w:val="left"/>
        <w:tblInd w:w="0" w:type="dxa"/>
        <w:tblLayout w:type="fixed"/>
        <w:tblCellMar>
          <w:top w:w="0" w:type="dxa"/>
          <w:left w:w="0" w:type="dxa"/>
          <w:bottom w:w="0" w:type="dxa"/>
          <w:right w:w="0" w:type="dxa"/>
        </w:tblCellMar>
      </w:tblPr>
      <w:tblGrid>
        <w:gridCol w:w="23"/>
        <w:gridCol w:w="230"/>
        <w:gridCol w:w="9929"/>
        <w:gridCol w:w="23"/>
      </w:tblGrid>
      <w:tr>
        <w:trPr/>
        <w:tc>
          <w:tcPr>
            <w:tcW w:w="23"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rFonts w:ascii="Arial;Helvetica;sans-serif" w:hAnsi="Arial;Helvetica;sans-serif"/>
                <w:sz w:val="23"/>
              </w:rPr>
            </w:pPr>
            <w:r>
              <w:rPr>
                <w:rFonts w:ascii="Arial;Helvetica;sans-serif" w:hAnsi="Arial;Helvetica;sans-serif"/>
                <w:sz w:val="23"/>
              </w:rPr>
              <w:t>B.</w:t>
            </w:r>
          </w:p>
        </w:tc>
        <w:tc>
          <w:tcPr>
            <w:tcW w:w="9929" w:type="dxa"/>
            <w:tcBorders/>
            <w:vAlign w:val="center"/>
          </w:tcPr>
          <w:p>
            <w:pPr>
              <w:pStyle w:val="TableContents"/>
              <w:bidi w:val="0"/>
              <w:spacing w:before="0" w:after="283"/>
              <w:jc w:val="left"/>
              <w:rPr/>
            </w:pPr>
            <w:r>
              <w:rPr>
                <w:rFonts w:ascii="Arial;Helvetica;sans-serif" w:hAnsi="Arial;Helvetica;sans-serif"/>
                <w:b w:val="false"/>
                <w:i w:val="false"/>
                <w:caps w:val="false"/>
                <w:smallCaps w:val="false"/>
                <w:spacing w:val="-1"/>
                <w:sz w:val="22"/>
                <w:u w:val="single"/>
              </w:rPr>
              <w:t>Sampling.</w:t>
            </w:r>
            <w:r>
              <w:rPr>
                <w:caps w:val="false"/>
                <w:smallCaps w:val="false"/>
                <w:spacing w:val="-1"/>
              </w:rPr>
              <w:t xml:space="preserve"> </w:t>
            </w:r>
            <w:r>
              <w:rPr>
                <w:rFonts w:ascii="Arial;Helvetica;sans-serif" w:hAnsi="Arial;Helvetica;sans-serif"/>
                <w:b w:val="false"/>
                <w:i w:val="false"/>
                <w:caps w:val="false"/>
                <w:smallCaps w:val="false"/>
                <w:spacing w:val="-1"/>
                <w:sz w:val="22"/>
              </w:rPr>
              <w:t xml:space="preserve">Each shipment of Product delivered to Buyer's Vessel at Richards Bay shall be sampled by an independent testing company, Bureau Veritas or such other independent testing laboratory acceptable to both parties. Such independent laboratory shall take and distribute representative samples (hereinafter called "Official Samples") from each shipment in accordance With the "Sampling and Sample Preparation Procedure", set forth in Exhibit "A," Procedure "SAM 78," attached hereto and made a </w:t>
            </w:r>
            <w:r>
              <w:rPr>
                <w:rFonts w:ascii="Arial;Helvetica;sans-serif" w:hAnsi="Arial;Helvetica;sans-serif"/>
                <w:b w:val="false"/>
                <w:i w:val="false"/>
                <w:caps w:val="false"/>
                <w:smallCaps w:val="false"/>
                <w:spacing w:val="-4"/>
                <w:sz w:val="22"/>
              </w:rPr>
              <w:t>part hereof.</w:t>
            </w:r>
          </w:p>
        </w:tc>
        <w:tc>
          <w:tcPr>
            <w:tcW w:w="23"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72" w:hanging="0"/>
        <w:jc w:val="both"/>
        <w:rPr>
          <w:spacing w:val="-4"/>
        </w:rPr>
      </w:pPr>
      <w:r>
        <w:rPr>
          <w:spacing w:val="-4"/>
        </w:rPr>
        <w:t>​</w:t>
      </w:r>
    </w:p>
    <w:p>
      <w:pPr>
        <w:pStyle w:val="TextBody"/>
        <w:bidi w:val="0"/>
        <w:spacing w:before="0" w:after="0"/>
        <w:ind w:left="720" w:right="0" w:hanging="0"/>
        <w:jc w:val="both"/>
        <w:rPr>
          <w:rFonts w:ascii="Arial;Helvetica;sans-serif" w:hAnsi="Arial;Helvetica;sans-serif"/>
          <w:sz w:val="22"/>
        </w:rPr>
      </w:pPr>
      <w:r>
        <w:rPr>
          <w:rFonts w:ascii="Arial;Helvetica;sans-serif" w:hAnsi="Arial;Helvetica;sans-serif"/>
          <w:sz w:val="22"/>
        </w:rPr>
        <w:t>The fees for services of such independent testing laboratory shall be paid for equally by RBT and Buyer and shall be included in RBT's commercial invoice referred to in Article VIII.</w:t>
      </w:r>
    </w:p>
    <w:p>
      <w:pPr>
        <w:pStyle w:val="TextBody"/>
        <w:bidi w:val="0"/>
        <w:spacing w:before="0" w:after="0"/>
        <w:ind w:left="720" w:right="0" w:hanging="0"/>
        <w:jc w:val="both"/>
        <w:rPr/>
      </w:pPr>
      <w:r>
        <w:rPr/>
        <w:t>​</w:t>
      </w:r>
    </w:p>
    <w:p>
      <w:pPr>
        <w:pStyle w:val="TextBody"/>
        <w:bidi w:val="0"/>
        <w:ind w:left="72" w:right="0" w:hanging="0"/>
        <w:jc w:val="left"/>
        <w:rPr>
          <w:rFonts w:ascii="Times New Roman;Times;serif" w:hAnsi="Times New Roman;Times;serif"/>
          <w:sz w:val="20"/>
        </w:rPr>
      </w:pPr>
      <w:r>
        <w:rPr>
          <w:rFonts w:ascii="Arial;Helvetica;sans-serif" w:hAnsi="Arial;Helvetica;sans-serif"/>
          <w:sz w:val="23"/>
        </w:rPr>
        <w:t>C.</w:t>
      </w:r>
      <w:r>
        <w:rPr>
          <w:rFonts w:ascii="Arial;Helvetica;sans-serif" w:hAnsi="Arial;Helvetica;sans-serif"/>
          <w:sz w:val="22"/>
          <w:u w:val="single"/>
        </w:rPr>
        <w:t xml:space="preserve">Analysis </w:t>
      </w:r>
    </w:p>
    <w:p>
      <w:pPr>
        <w:pStyle w:val="TextBody"/>
        <w:bidi w:val="0"/>
        <w:spacing w:before="0" w:after="0"/>
        <w:ind w:left="72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23"/>
        <w:gridCol w:w="149"/>
        <w:gridCol w:w="10033"/>
      </w:tblGrid>
      <w:tr>
        <w:trPr/>
        <w:tc>
          <w:tcPr>
            <w:tcW w:w="23"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rFonts w:ascii="Arial;Helvetica;sans-serif" w:hAnsi="Arial;Helvetica;sans-serif"/>
                <w:sz w:val="23"/>
              </w:rPr>
            </w:pPr>
            <w:r>
              <w:rPr>
                <w:rFonts w:ascii="Arial;Helvetica;sans-serif" w:hAnsi="Arial;Helvetica;sans-serif"/>
                <w:sz w:val="23"/>
              </w:rPr>
              <w:t>1.</w:t>
            </w:r>
          </w:p>
        </w:tc>
        <w:tc>
          <w:tcPr>
            <w:tcW w:w="10033" w:type="dxa"/>
            <w:tcBorders/>
            <w:vAlign w:val="center"/>
          </w:tcPr>
          <w:p>
            <w:pPr>
              <w:pStyle w:val="TableContents"/>
              <w:bidi w:val="0"/>
              <w:spacing w:before="0" w:after="283"/>
              <w:jc w:val="left"/>
              <w:rPr/>
            </w:pPr>
            <w:r>
              <w:rPr>
                <w:rFonts w:ascii="Arial;Helvetica;sans-serif" w:hAnsi="Arial;Helvetica;sans-serif"/>
                <w:b w:val="false"/>
                <w:i w:val="false"/>
                <w:caps w:val="false"/>
                <w:smallCaps w:val="false"/>
                <w:sz w:val="22"/>
                <w:u w:val="single"/>
              </w:rPr>
              <w:t>Methods of Analysis.</w:t>
            </w:r>
            <w:r>
              <w:rPr>
                <w:caps w:val="false"/>
                <w:smallCaps w:val="false"/>
              </w:rPr>
              <w:t xml:space="preserve"> </w:t>
            </w:r>
            <w:r>
              <w:rPr>
                <w:rFonts w:ascii="Arial;Helvetica;sans-serif" w:hAnsi="Arial;Helvetica;sans-serif"/>
                <w:b w:val="false"/>
                <w:i w:val="false"/>
                <w:caps w:val="false"/>
                <w:smallCaps w:val="false"/>
                <w:sz w:val="22"/>
              </w:rPr>
              <w:t>All analyses shall be made by the methods outlined in Exhibit "B" Procedure "SAM 004", Exhibit "C" Procedure "SAM 124", Exhibit "D" Procedure "SAM 051", Exhibit "E" Procedure "SAM 079" and Exhibit "F' Procedure "SAM 008" which are attached hereto and made a part hereof, or by such other methods as RBT shall consider appropriate provided that the results obtained from such other methods are consistent with the results which would be obtained by using the methods outlined in the above-mentioned exhibits.</w:t>
            </w:r>
          </w:p>
        </w:tc>
      </w:tr>
    </w:tbl>
    <w:p>
      <w:pPr>
        <w:pStyle w:val="TextBody"/>
        <w:bidi w:val="0"/>
        <w:spacing w:before="0" w:after="0"/>
        <w:ind w:left="1440" w:right="0" w:hanging="0"/>
        <w:jc w:val="both"/>
        <w:rPr/>
      </w:pPr>
      <w:r>
        <w:rPr/>
        <w:t>​</w:t>
      </w:r>
    </w:p>
    <w:tbl>
      <w:tblPr>
        <w:tblW w:w="10205" w:type="dxa"/>
        <w:jc w:val="left"/>
        <w:tblInd w:w="0" w:type="dxa"/>
        <w:tblLayout w:type="fixed"/>
        <w:tblCellMar>
          <w:top w:w="0" w:type="dxa"/>
          <w:left w:w="0" w:type="dxa"/>
          <w:bottom w:w="0" w:type="dxa"/>
          <w:right w:w="0" w:type="dxa"/>
        </w:tblCellMar>
      </w:tblPr>
      <w:tblGrid>
        <w:gridCol w:w="23"/>
        <w:gridCol w:w="169"/>
        <w:gridCol w:w="10013"/>
      </w:tblGrid>
      <w:tr>
        <w:trPr/>
        <w:tc>
          <w:tcPr>
            <w:tcW w:w="23"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rFonts w:ascii="Arial;Helvetica;sans-serif" w:hAnsi="Arial;Helvetica;sans-serif"/>
                <w:sz w:val="23"/>
              </w:rPr>
            </w:pPr>
            <w:r>
              <w:rPr>
                <w:rFonts w:ascii="Arial;Helvetica;sans-serif" w:hAnsi="Arial;Helvetica;sans-serif"/>
                <w:sz w:val="23"/>
              </w:rPr>
              <w:t>2.</w:t>
            </w:r>
          </w:p>
        </w:tc>
        <w:tc>
          <w:tcPr>
            <w:tcW w:w="10013" w:type="dxa"/>
            <w:tcBorders/>
            <w:vAlign w:val="center"/>
          </w:tcPr>
          <w:p>
            <w:pPr>
              <w:pStyle w:val="TableContents"/>
              <w:bidi w:val="0"/>
              <w:spacing w:before="0" w:after="283"/>
              <w:jc w:val="left"/>
              <w:rPr/>
            </w:pPr>
            <w:r>
              <w:rPr>
                <w:rFonts w:ascii="Arial;Helvetica;sans-serif" w:hAnsi="Arial;Helvetica;sans-serif"/>
                <w:b w:val="false"/>
                <w:i w:val="false"/>
                <w:caps w:val="false"/>
                <w:smallCaps w:val="false"/>
                <w:sz w:val="22"/>
                <w:u w:val="single"/>
              </w:rPr>
              <w:t>Analysis by RBT.</w:t>
            </w:r>
            <w:r>
              <w:rPr>
                <w:caps w:val="false"/>
                <w:smallCaps w:val="false"/>
              </w:rPr>
              <w:t xml:space="preserve"> </w:t>
            </w:r>
            <w:r>
              <w:rPr>
                <w:rFonts w:ascii="Arial;Helvetica;sans-serif" w:hAnsi="Arial;Helvetica;sans-serif"/>
                <w:b w:val="false"/>
                <w:i w:val="false"/>
                <w:caps w:val="false"/>
                <w:smallCaps w:val="false"/>
                <w:sz w:val="22"/>
              </w:rPr>
              <w:t>RBT shall analyze the Official Samples and the results of such analysis for each shipment shall be provided to Buyer not later than thirty (30) days following the date of such shipment.</w:t>
            </w:r>
          </w:p>
        </w:tc>
      </w:tr>
    </w:tbl>
    <w:p>
      <w:pPr>
        <w:pStyle w:val="TextBody"/>
        <w:bidi w:val="0"/>
        <w:spacing w:before="0" w:after="0"/>
        <w:ind w:left="0" w:right="0" w:hanging="0"/>
        <w:jc w:val="both"/>
        <w:rPr/>
      </w:pPr>
      <w:r>
        <w:rPr/>
        <w:t>​</w:t>
      </w:r>
    </w:p>
    <w:tbl>
      <w:tblPr>
        <w:tblW w:w="10205" w:type="dxa"/>
        <w:jc w:val="left"/>
        <w:tblInd w:w="0" w:type="dxa"/>
        <w:tblLayout w:type="fixed"/>
        <w:tblCellMar>
          <w:top w:w="0" w:type="dxa"/>
          <w:left w:w="0" w:type="dxa"/>
          <w:bottom w:w="0" w:type="dxa"/>
          <w:right w:w="0" w:type="dxa"/>
        </w:tblCellMar>
      </w:tblPr>
      <w:tblGrid>
        <w:gridCol w:w="23"/>
        <w:gridCol w:w="155"/>
        <w:gridCol w:w="10027"/>
      </w:tblGrid>
      <w:tr>
        <w:trPr/>
        <w:tc>
          <w:tcPr>
            <w:tcW w:w="23"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rFonts w:ascii="Arial;Helvetica;sans-serif" w:hAnsi="Arial;Helvetica;sans-serif"/>
                <w:sz w:val="23"/>
              </w:rPr>
            </w:pPr>
            <w:r>
              <w:rPr>
                <w:rFonts w:ascii="Arial;Helvetica;sans-serif" w:hAnsi="Arial;Helvetica;sans-serif"/>
                <w:sz w:val="23"/>
              </w:rPr>
              <w:t>3.</w:t>
            </w:r>
          </w:p>
        </w:tc>
        <w:tc>
          <w:tcPr>
            <w:tcW w:w="10027" w:type="dxa"/>
            <w:tcBorders/>
            <w:vAlign w:val="center"/>
          </w:tcPr>
          <w:p>
            <w:pPr>
              <w:pStyle w:val="TableContents"/>
              <w:bidi w:val="0"/>
              <w:spacing w:before="0" w:after="283"/>
              <w:jc w:val="left"/>
              <w:rPr/>
            </w:pPr>
            <w:r>
              <w:rPr>
                <w:rFonts w:ascii="Arial;Helvetica;sans-serif" w:hAnsi="Arial;Helvetica;sans-serif"/>
                <w:b w:val="false"/>
                <w:i w:val="false"/>
                <w:caps w:val="false"/>
                <w:smallCaps w:val="false"/>
                <w:sz w:val="22"/>
                <w:u w:val="single"/>
              </w:rPr>
              <w:t>Analysis by Buyer.</w:t>
            </w:r>
            <w:r>
              <w:rPr>
                <w:caps w:val="false"/>
                <w:smallCaps w:val="false"/>
              </w:rPr>
              <w:t xml:space="preserve"> </w:t>
            </w:r>
            <w:r>
              <w:rPr>
                <w:rFonts w:ascii="Arial;Helvetica;sans-serif" w:hAnsi="Arial;Helvetica;sans-serif"/>
                <w:b w:val="false"/>
                <w:i w:val="false"/>
                <w:caps w:val="false"/>
                <w:smallCaps w:val="false"/>
                <w:sz w:val="22"/>
              </w:rPr>
              <w:t>Buyer may, but shall not be obligated to, analyze the Official Samples. Unless Buyer notifies RBT within [***] of receipt of an Official Sample that Buyer's analysis indicates that Product fails to meet Specifications or that the TiO2 content is more than [***] different from RBT's analysis, the results of RBT's analysis shall be final and conclusive.</w:t>
            </w:r>
          </w:p>
        </w:tc>
      </w:tr>
    </w:tbl>
    <w:p>
      <w:pPr>
        <w:pStyle w:val="TextBody"/>
        <w:bidi w:val="0"/>
        <w:spacing w:before="0" w:after="0"/>
        <w:ind w:left="0" w:right="0" w:hanging="0"/>
        <w:jc w:val="both"/>
        <w:rPr/>
      </w:pPr>
      <w:r>
        <w:rPr/>
        <w:t>​</w:t>
      </w:r>
    </w:p>
    <w:tbl>
      <w:tblPr>
        <w:tblW w:w="10205" w:type="dxa"/>
        <w:jc w:val="left"/>
        <w:tblInd w:w="0" w:type="dxa"/>
        <w:tblLayout w:type="fixed"/>
        <w:tblCellMar>
          <w:top w:w="0" w:type="dxa"/>
          <w:left w:w="0" w:type="dxa"/>
          <w:bottom w:w="0" w:type="dxa"/>
          <w:right w:w="0" w:type="dxa"/>
        </w:tblCellMar>
      </w:tblPr>
      <w:tblGrid>
        <w:gridCol w:w="23"/>
        <w:gridCol w:w="147"/>
        <w:gridCol w:w="10035"/>
      </w:tblGrid>
      <w:tr>
        <w:trPr/>
        <w:tc>
          <w:tcPr>
            <w:tcW w:w="23"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rFonts w:ascii="Arial;Helvetica;sans-serif" w:hAnsi="Arial;Helvetica;sans-serif"/>
                <w:sz w:val="23"/>
              </w:rPr>
            </w:pPr>
            <w:r>
              <w:rPr>
                <w:rFonts w:ascii="Arial;Helvetica;sans-serif" w:hAnsi="Arial;Helvetica;sans-serif"/>
                <w:sz w:val="23"/>
              </w:rPr>
              <w:t>4.</w:t>
            </w:r>
          </w:p>
        </w:tc>
        <w:tc>
          <w:tcPr>
            <w:tcW w:w="10035" w:type="dxa"/>
            <w:tcBorders/>
            <w:vAlign w:val="center"/>
          </w:tcPr>
          <w:p>
            <w:pPr>
              <w:pStyle w:val="TableContents"/>
              <w:bidi w:val="0"/>
              <w:spacing w:before="0" w:after="283"/>
              <w:jc w:val="left"/>
              <w:rPr/>
            </w:pPr>
            <w:r>
              <w:rPr>
                <w:rFonts w:ascii="Arial;Helvetica;sans-serif" w:hAnsi="Arial;Helvetica;sans-serif"/>
                <w:b w:val="false"/>
                <w:i w:val="false"/>
                <w:caps w:val="false"/>
                <w:smallCaps w:val="false"/>
                <w:spacing w:val="-3"/>
                <w:sz w:val="22"/>
                <w:u w:val="single"/>
              </w:rPr>
              <w:t>Umpire Procedure.</w:t>
            </w:r>
            <w:r>
              <w:rPr>
                <w:caps w:val="false"/>
                <w:smallCaps w:val="false"/>
                <w:spacing w:val="-3"/>
              </w:rPr>
              <w:t xml:space="preserve"> </w:t>
            </w:r>
            <w:r>
              <w:rPr>
                <w:rFonts w:ascii="Arial;Helvetica;sans-serif" w:hAnsi="Arial;Helvetica;sans-serif"/>
                <w:b w:val="false"/>
                <w:i w:val="false"/>
                <w:caps w:val="false"/>
                <w:smallCaps w:val="false"/>
                <w:spacing w:val="-3"/>
                <w:sz w:val="22"/>
              </w:rPr>
              <w:t>Should Buyer's analysis of the Official Sample indicate that Product does not meet Specifications or that the TiO2 content of Product is more than [***] different from RBT's analysis, Buyer may so advise RBT and RBT shall request the independent testing laboratory referred to above to forward for analysis its retained Official Sample to such umpire analyst (being an independent testing laboratory) as shall be agreed to from time to time by the parties. The parties hereby agree at this time for this purpose that Inspectorate Griffith Limited, 2 Perry Road, Witham, Essex, CM8 3TU, U.K. shall be the initial umpire analyst. The umpire shall analyze the Official Sample in accordance with the methods outlined in the Exhibits referred to in Article XI.C.</w:t>
            </w:r>
          </w:p>
        </w:tc>
      </w:tr>
    </w:tbl>
    <w:p>
      <w:pPr>
        <w:pStyle w:val="TextBody"/>
        <w:bidi w:val="0"/>
        <w:spacing w:before="0" w:after="0"/>
        <w:ind w:left="0" w:right="0" w:hanging="0"/>
        <w:jc w:val="both"/>
        <w:rPr>
          <w:spacing w:val="-3"/>
        </w:rPr>
      </w:pPr>
      <w:r>
        <w:rPr>
          <w:spacing w:val="-3"/>
        </w:rPr>
        <w:t>​</w:t>
      </w:r>
    </w:p>
    <w:tbl>
      <w:tblPr>
        <w:tblW w:w="10205" w:type="dxa"/>
        <w:jc w:val="left"/>
        <w:tblInd w:w="0" w:type="dxa"/>
        <w:tblLayout w:type="fixed"/>
        <w:tblCellMar>
          <w:top w:w="0" w:type="dxa"/>
          <w:left w:w="0" w:type="dxa"/>
          <w:bottom w:w="0" w:type="dxa"/>
          <w:right w:w="0" w:type="dxa"/>
        </w:tblCellMar>
      </w:tblPr>
      <w:tblGrid>
        <w:gridCol w:w="23"/>
        <w:gridCol w:w="178"/>
        <w:gridCol w:w="9980"/>
        <w:gridCol w:w="24"/>
      </w:tblGrid>
      <w:tr>
        <w:trPr/>
        <w:tc>
          <w:tcPr>
            <w:tcW w:w="23"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rFonts w:ascii="Arial;Helvetica;sans-serif" w:hAnsi="Arial;Helvetica;sans-serif"/>
                <w:sz w:val="23"/>
              </w:rPr>
            </w:pPr>
            <w:r>
              <w:rPr>
                <w:rFonts w:ascii="Arial;Helvetica;sans-serif" w:hAnsi="Arial;Helvetica;sans-serif"/>
                <w:sz w:val="23"/>
              </w:rPr>
              <w:t>5.</w:t>
            </w:r>
          </w:p>
        </w:tc>
        <w:tc>
          <w:tcPr>
            <w:tcW w:w="9980" w:type="dxa"/>
            <w:tcBorders/>
            <w:vAlign w:val="center"/>
          </w:tcPr>
          <w:p>
            <w:pPr>
              <w:pStyle w:val="TableContents"/>
              <w:bidi w:val="0"/>
              <w:spacing w:before="0" w:after="283"/>
              <w:jc w:val="left"/>
              <w:rPr/>
            </w:pPr>
            <w:r>
              <w:rPr>
                <w:rFonts w:ascii="Arial;Helvetica;sans-serif" w:hAnsi="Arial;Helvetica;sans-serif"/>
                <w:b w:val="false"/>
                <w:i w:val="false"/>
                <w:caps w:val="false"/>
                <w:smallCaps w:val="false"/>
                <w:sz w:val="22"/>
                <w:u w:val="single"/>
              </w:rPr>
              <w:t>Settlement.</w:t>
            </w:r>
            <w:r>
              <w:rPr>
                <w:caps w:val="false"/>
                <w:smallCaps w:val="false"/>
              </w:rPr>
              <w:t xml:space="preserve"> </w:t>
            </w:r>
            <w:r>
              <w:rPr>
                <w:rFonts w:ascii="Arial;Helvetica;sans-serif" w:hAnsi="Arial;Helvetica;sans-serif"/>
                <w:b w:val="false"/>
                <w:i w:val="false"/>
                <w:caps w:val="false"/>
                <w:smallCaps w:val="false"/>
                <w:sz w:val="22"/>
              </w:rPr>
              <w:t xml:space="preserve">The umpire's analysis as to TiO2 content and that of Buyer or RBT, whichever is in closer agreement, shall be averaged as the basis for final </w:t>
            </w:r>
          </w:p>
        </w:tc>
        <w:tc>
          <w:tcPr>
            <w:tcW w:w="2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hanging="0"/>
        <w:jc w:val="center"/>
        <w:rPr>
          <w:rFonts w:ascii="Arial;Helvetica;sans-serif" w:hAnsi="Arial;Helvetica;sans-serif"/>
          <w:caps/>
          <w:sz w:val="20"/>
        </w:rPr>
      </w:pPr>
      <w:r>
        <w:rPr>
          <w:rFonts w:ascii="Arial;Helvetica;sans-serif" w:hAnsi="Arial;Helvetica;sans-serif"/>
          <w:caps/>
          <w:sz w:val="20"/>
        </w:rPr>
        <w:t>9</w:t>
      </w:r>
    </w:p>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tbl>
      <w:tblPr>
        <w:tblW w:w="10205" w:type="dxa"/>
        <w:jc w:val="left"/>
        <w:tblInd w:w="0" w:type="dxa"/>
        <w:tblLayout w:type="fixed"/>
        <w:tblCellMar>
          <w:top w:w="0" w:type="dxa"/>
          <w:left w:w="0" w:type="dxa"/>
          <w:bottom w:w="0" w:type="dxa"/>
          <w:right w:w="0" w:type="dxa"/>
        </w:tblCellMar>
      </w:tblPr>
      <w:tblGrid>
        <w:gridCol w:w="23"/>
        <w:gridCol w:w="23"/>
        <w:gridCol w:w="10136"/>
        <w:gridCol w:w="23"/>
      </w:tblGrid>
      <w:tr>
        <w:trPr/>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10136" w:type="dxa"/>
            <w:tcBorders/>
            <w:vAlign w:val="center"/>
          </w:tcPr>
          <w:p>
            <w:pPr>
              <w:pStyle w:val="TableContents"/>
              <w:bidi w:val="0"/>
              <w:spacing w:before="0" w:after="283"/>
              <w:jc w:val="left"/>
              <w:rPr/>
            </w:pPr>
            <w:r>
              <w:rPr>
                <w:rFonts w:ascii="Arial;Helvetica;sans-serif" w:hAnsi="Arial;Helvetica;sans-serif"/>
                <w:b w:val="false"/>
                <w:i w:val="false"/>
                <w:caps w:val="false"/>
                <w:smallCaps w:val="false"/>
                <w:sz w:val="22"/>
              </w:rPr>
              <w:t xml:space="preserve">settlement; provided that if the umpire's analysis lies exactly halfway between Buyer's and RBT's analyses, the umpire's analysis shall be the </w:t>
            </w:r>
            <w:r>
              <w:rPr>
                <w:rFonts w:ascii="Arial;Helvetica;sans-serif" w:hAnsi="Arial;Helvetica;sans-serif"/>
                <w:b w:val="false"/>
                <w:i w:val="false"/>
                <w:caps w:val="false"/>
                <w:smallCaps w:val="false"/>
                <w:spacing w:val="-4"/>
                <w:sz w:val="22"/>
              </w:rPr>
              <w:t>basis for final settlement.</w:t>
            </w:r>
          </w:p>
        </w:tc>
        <w:tc>
          <w:tcPr>
            <w:tcW w:w="23"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72" w:hanging="0"/>
        <w:jc w:val="both"/>
        <w:rPr>
          <w:spacing w:val="-4"/>
        </w:rPr>
      </w:pPr>
      <w:r>
        <w:rPr>
          <w:spacing w:val="-4"/>
        </w:rPr>
        <w:t>​</w:t>
      </w:r>
    </w:p>
    <w:p>
      <w:pPr>
        <w:pStyle w:val="TextBody"/>
        <w:pBdr/>
        <w:bidi w:val="0"/>
        <w:spacing w:before="0" w:after="0"/>
        <w:ind w:left="720" w:right="72" w:hanging="0"/>
        <w:jc w:val="both"/>
        <w:rPr>
          <w:rFonts w:ascii="Arial;Helvetica;sans-serif" w:hAnsi="Arial;Helvetica;sans-serif"/>
          <w:sz w:val="22"/>
        </w:rPr>
      </w:pPr>
      <w:r>
        <w:rPr>
          <w:rFonts w:ascii="Arial;Helvetica;sans-serif" w:hAnsi="Arial;Helvetica;sans-serif"/>
          <w:sz w:val="22"/>
        </w:rPr>
        <w:t>If such final basis for settlement results in a price adjustment in accordance with the procedure described in Article V of this Agreement, RBT shall issue a credit or debit invoice as the case may be. If an umpire's analysis is required on any Specification other than Ti02, the umpire's analysis and that of Buyer or RBT, whichever is in closer agreement, shall be averaged as the basis for final settlement; provided that if the umpire's analysis lies exactly halfway between the Buyer's and RBT's analyses, the umpire's analysis shall be the basis for final settlement. If such analysis determines that Product does not meet each of such Specifications, the parties shall proceed as described in Article IX.B. of this Agreement. The cost of an umpire's analysis shall be paid by the party whose analysis varies most from the umpire's analysis unless such variations are equal and then the cost shall be borne equally by the parties.</w:t>
      </w:r>
    </w:p>
    <w:p>
      <w:pPr>
        <w:pStyle w:val="TextBody"/>
        <w:bidi w:val="0"/>
        <w:spacing w:before="0" w:after="0"/>
        <w:ind w:left="0" w:right="72" w:hanging="0"/>
        <w:jc w:val="both"/>
        <w:rPr/>
      </w:pPr>
      <w:r>
        <w:rPr/>
        <w:t>​</w:t>
      </w:r>
    </w:p>
    <w:tbl>
      <w:tblPr>
        <w:tblW w:w="10205" w:type="dxa"/>
        <w:jc w:val="left"/>
        <w:tblInd w:w="0" w:type="dxa"/>
        <w:tblLayout w:type="fixed"/>
        <w:tblCellMar>
          <w:top w:w="0" w:type="dxa"/>
          <w:left w:w="0" w:type="dxa"/>
          <w:bottom w:w="0" w:type="dxa"/>
          <w:right w:w="0" w:type="dxa"/>
        </w:tblCellMar>
      </w:tblPr>
      <w:tblGrid>
        <w:gridCol w:w="245"/>
        <w:gridCol w:w="9960"/>
      </w:tblGrid>
      <w:tr>
        <w:trPr/>
        <w:tc>
          <w:tcPr>
            <w:tcW w:w="245" w:type="dxa"/>
            <w:tcBorders/>
            <w:vAlign w:val="center"/>
          </w:tcPr>
          <w:p>
            <w:pPr>
              <w:pStyle w:val="TableContents"/>
              <w:bidi w:val="0"/>
              <w:spacing w:before="0" w:after="0"/>
              <w:jc w:val="both"/>
              <w:rPr>
                <w:rFonts w:ascii="Arial;Helvetica;sans-serif" w:hAnsi="Arial;Helvetica;sans-serif"/>
                <w:sz w:val="22"/>
              </w:rPr>
            </w:pPr>
            <w:r>
              <w:rPr>
                <w:rFonts w:ascii="Arial;Helvetica;sans-serif" w:hAnsi="Arial;Helvetica;sans-serif"/>
                <w:sz w:val="22"/>
              </w:rPr>
              <w:t>D.</w:t>
            </w:r>
          </w:p>
        </w:tc>
        <w:tc>
          <w:tcPr>
            <w:tcW w:w="9960" w:type="dxa"/>
            <w:tcBorders/>
            <w:vAlign w:val="center"/>
          </w:tcPr>
          <w:p>
            <w:pPr>
              <w:pStyle w:val="TableContents"/>
              <w:bidi w:val="0"/>
              <w:spacing w:before="0" w:after="0"/>
              <w:jc w:val="both"/>
              <w:rPr>
                <w:rFonts w:ascii="Times New Roman;Times;serif" w:hAnsi="Times New Roman;Times;serif"/>
                <w:sz w:val="20"/>
              </w:rPr>
            </w:pPr>
            <w:r>
              <w:rPr>
                <w:rFonts w:ascii="Arial;Helvetica;sans-serif" w:hAnsi="Arial;Helvetica;sans-serif"/>
                <w:sz w:val="22"/>
                <w:u w:val="single"/>
              </w:rPr>
              <w:t>Revision of Sampling and Analytical Procedures.</w:t>
            </w:r>
            <w:r>
              <w:rPr>
                <w:rFonts w:ascii="Times New Roman;Times;serif" w:hAnsi="Times New Roman;Times;serif"/>
                <w:sz w:val="20"/>
              </w:rPr>
              <w:t xml:space="preserve"> </w:t>
            </w:r>
            <w:r>
              <w:rPr>
                <w:rFonts w:ascii="Arial;Helvetica;sans-serif" w:hAnsi="Arial;Helvetica;sans-serif"/>
                <w:sz w:val="22"/>
              </w:rPr>
              <w:t>The procedures set forth in the Exhibits referred to in this article are believed to be the most satisfactory ones now available. However, better procedures may become available. Each of said Exhibits may be revised from time to time, without formal amendment to this Agreement; provided that each such revision shall require the written approval of Buyer and RBT.</w:t>
            </w:r>
          </w:p>
        </w:tc>
      </w:tr>
    </w:tbl>
    <w:p>
      <w:pPr>
        <w:pStyle w:val="TextBody"/>
        <w:bidi w:val="0"/>
        <w:spacing w:before="0" w:after="0"/>
        <w:ind w:left="72" w:right="72" w:hanging="0"/>
        <w:jc w:val="left"/>
        <w:rPr>
          <w:spacing w:val="-3"/>
        </w:rPr>
      </w:pPr>
      <w:r>
        <w:rPr>
          <w:spacing w:val="-3"/>
        </w:rPr>
        <w:t>​</w:t>
      </w:r>
    </w:p>
    <w:p>
      <w:pPr>
        <w:pStyle w:val="TextBody"/>
        <w:bidi w:val="0"/>
        <w:spacing w:before="0" w:after="0"/>
        <w:ind w:left="72" w:right="72" w:hanging="0"/>
        <w:jc w:val="left"/>
        <w:rPr>
          <w:rFonts w:ascii="Arial;Helvetica;sans-serif" w:hAnsi="Arial;Helvetica;sans-serif"/>
          <w:b/>
          <w:spacing w:val="-3"/>
          <w:sz w:val="22"/>
        </w:rPr>
      </w:pPr>
      <w:r>
        <w:rPr>
          <w:rFonts w:ascii="Arial;Helvetica;sans-serif" w:hAnsi="Arial;Helvetica;sans-serif"/>
          <w:b/>
          <w:spacing w:val="-3"/>
          <w:sz w:val="22"/>
        </w:rPr>
        <w:t>ARTICLE XII. ARBITRATION</w:t>
      </w:r>
    </w:p>
    <w:p>
      <w:pPr>
        <w:pStyle w:val="TextBody"/>
        <w:bidi w:val="0"/>
        <w:spacing w:before="0" w:after="0"/>
        <w:ind w:left="72" w:right="72" w:hanging="0"/>
        <w:jc w:val="left"/>
        <w:rPr>
          <w:spacing w:val="-3"/>
        </w:rPr>
      </w:pPr>
      <w:r>
        <w:rPr>
          <w:spacing w:val="-3"/>
        </w:rPr>
        <w:t>​</w:t>
      </w:r>
    </w:p>
    <w:p>
      <w:pPr>
        <w:pStyle w:val="TextBody"/>
        <w:bidi w:val="0"/>
        <w:spacing w:before="0" w:after="0"/>
        <w:ind w:left="72" w:right="72" w:hanging="0"/>
        <w:jc w:val="both"/>
        <w:rPr>
          <w:rFonts w:ascii="Arial;Helvetica;sans-serif" w:hAnsi="Arial;Helvetica;sans-serif"/>
          <w:spacing w:val="-3"/>
          <w:sz w:val="22"/>
        </w:rPr>
      </w:pPr>
      <w:r>
        <w:rPr>
          <w:rFonts w:ascii="Arial;Helvetica;sans-serif" w:hAnsi="Arial;Helvetica;sans-serif"/>
          <w:spacing w:val="-3"/>
          <w:sz w:val="22"/>
        </w:rPr>
        <w:t>Any dispute between the parties hereto arising out of or in any way connected with this Agreement, its negotiation, performance, breach, existence or validity shall, unless settled by mutual agreement or conciliation and failing settlement thereunder, be referred for final and binding arbitration, in London, England, under the Rules of Conciliation and Arbitration of the International Chamber of Commerce. The arbitration shall be presided over by three arbitrators of which RBT shall appoint one and Buyer shall appoint another, and the two appointed arbitrators shall appoint the Chairman of the arbitral tribunal within thirty (30) days following their appointment by the parties hereto, failing which the Chairman shall be appointed by the International Court of Arbitration of the International Chamber of Commerce. The language of the arbitration and all documents submitted therein shall be in English.</w:t>
      </w:r>
    </w:p>
    <w:p>
      <w:pPr>
        <w:pStyle w:val="TextBody"/>
        <w:bidi w:val="0"/>
        <w:spacing w:before="0" w:after="0"/>
        <w:ind w:left="72" w:right="72" w:hanging="0"/>
        <w:jc w:val="both"/>
        <w:rPr>
          <w:spacing w:val="-3"/>
        </w:rPr>
      </w:pPr>
      <w:r>
        <w:rPr>
          <w:spacing w:val="-3"/>
        </w:rPr>
        <w:t>​</w:t>
      </w:r>
    </w:p>
    <w:p>
      <w:pPr>
        <w:pStyle w:val="TextBody"/>
        <w:bidi w:val="0"/>
        <w:spacing w:before="0" w:after="0"/>
        <w:ind w:left="0" w:right="0" w:hanging="0"/>
        <w:jc w:val="left"/>
        <w:rPr>
          <w:rFonts w:ascii="Arial;Helvetica;sans-serif" w:hAnsi="Arial;Helvetica;sans-serif"/>
          <w:b/>
          <w:spacing w:val="-1"/>
          <w:sz w:val="22"/>
        </w:rPr>
      </w:pPr>
      <w:r>
        <w:rPr>
          <w:rFonts w:ascii="Arial;Helvetica;sans-serif" w:hAnsi="Arial;Helvetica;sans-serif"/>
          <w:b/>
          <w:spacing w:val="-1"/>
          <w:sz w:val="22"/>
        </w:rPr>
        <w:t>ARTICLE XIII. TAXES AND DUTIES</w:t>
      </w:r>
    </w:p>
    <w:p>
      <w:pPr>
        <w:pStyle w:val="TextBody"/>
        <w:bidi w:val="0"/>
        <w:spacing w:before="0" w:after="0"/>
        <w:ind w:left="0" w:right="0" w:hanging="0"/>
        <w:jc w:val="left"/>
        <w:rPr>
          <w:spacing w:val="-1"/>
        </w:rPr>
      </w:pPr>
      <w:r>
        <w:rPr>
          <w:spacing w:val="-1"/>
        </w:rPr>
        <w:t>​</w:t>
      </w:r>
    </w:p>
    <w:p>
      <w:pPr>
        <w:pStyle w:val="TextBody"/>
        <w:bidi w:val="0"/>
        <w:spacing w:before="0" w:after="0"/>
        <w:ind w:left="0" w:right="0" w:hanging="0"/>
        <w:jc w:val="both"/>
        <w:rPr>
          <w:rFonts w:ascii="Arial;Helvetica;sans-serif" w:hAnsi="Arial;Helvetica;sans-serif"/>
          <w:spacing w:val="-2"/>
          <w:sz w:val="22"/>
        </w:rPr>
      </w:pPr>
      <w:r>
        <w:rPr>
          <w:rFonts w:ascii="Arial;Helvetica;sans-serif" w:hAnsi="Arial;Helvetica;sans-serif"/>
          <w:spacing w:val="-2"/>
          <w:sz w:val="22"/>
        </w:rPr>
        <w:t>All South African taxes and duties now or hereafter imposed during the term of this Agreement shall be for the sole account of RBT. All taxes and duties now or hereafter imposed on the import of the Product during the term of this Agreement shall be for the sole account of Buyer.</w:t>
      </w:r>
    </w:p>
    <w:p>
      <w:pPr>
        <w:pStyle w:val="TextBody"/>
        <w:bidi w:val="0"/>
        <w:spacing w:before="0" w:after="0"/>
        <w:ind w:left="0" w:right="0" w:hanging="0"/>
        <w:jc w:val="left"/>
        <w:rPr>
          <w:spacing w:val="-1"/>
        </w:rPr>
      </w:pPr>
      <w:r>
        <w:rPr>
          <w:spacing w:val="-1"/>
        </w:rPr>
        <w:t>​</w:t>
      </w:r>
    </w:p>
    <w:p>
      <w:pPr>
        <w:pStyle w:val="TextBody"/>
        <w:bidi w:val="0"/>
        <w:spacing w:before="0" w:after="0"/>
        <w:ind w:left="0" w:right="0" w:hanging="0"/>
        <w:jc w:val="left"/>
        <w:rPr>
          <w:rFonts w:ascii="Arial;Helvetica;sans-serif" w:hAnsi="Arial;Helvetica;sans-serif"/>
          <w:b/>
          <w:spacing w:val="-1"/>
          <w:sz w:val="22"/>
        </w:rPr>
      </w:pPr>
      <w:r>
        <w:rPr>
          <w:rFonts w:ascii="Arial;Helvetica;sans-serif" w:hAnsi="Arial;Helvetica;sans-serif"/>
          <w:b/>
          <w:spacing w:val="-1"/>
          <w:sz w:val="22"/>
        </w:rPr>
        <w:t>ARTICLE XIV. PATENTS</w:t>
      </w:r>
    </w:p>
    <w:p>
      <w:pPr>
        <w:pStyle w:val="TextBody"/>
        <w:bidi w:val="0"/>
        <w:spacing w:before="0" w:after="0"/>
        <w:ind w:left="0" w:right="0" w:hanging="0"/>
        <w:jc w:val="left"/>
        <w:rPr>
          <w:spacing w:val="-1"/>
        </w:rPr>
      </w:pPr>
      <w:r>
        <w:rPr>
          <w:spacing w:val="-1"/>
        </w:rPr>
        <w:t>​</w:t>
      </w:r>
    </w:p>
    <w:tbl>
      <w:tblPr>
        <w:tblW w:w="10205" w:type="dxa"/>
        <w:jc w:val="left"/>
        <w:tblInd w:w="0" w:type="dxa"/>
        <w:tblLayout w:type="fixed"/>
        <w:tblCellMar>
          <w:top w:w="0" w:type="dxa"/>
          <w:left w:w="0" w:type="dxa"/>
          <w:bottom w:w="0" w:type="dxa"/>
          <w:right w:w="0" w:type="dxa"/>
        </w:tblCellMar>
      </w:tblPr>
      <w:tblGrid>
        <w:gridCol w:w="230"/>
        <w:gridCol w:w="9975"/>
      </w:tblGrid>
      <w:tr>
        <w:trPr/>
        <w:tc>
          <w:tcPr>
            <w:tcW w:w="230" w:type="dxa"/>
            <w:tcBorders/>
            <w:vAlign w:val="center"/>
          </w:tcPr>
          <w:p>
            <w:pPr>
              <w:pStyle w:val="TableContents"/>
              <w:bidi w:val="0"/>
              <w:spacing w:before="0" w:after="283"/>
              <w:jc w:val="left"/>
              <w:rPr>
                <w:rFonts w:ascii="Arial;Helvetica;sans-serif" w:hAnsi="Arial;Helvetica;sans-serif"/>
                <w:sz w:val="23"/>
              </w:rPr>
            </w:pPr>
            <w:r>
              <w:rPr>
                <w:rFonts w:ascii="Arial;Helvetica;sans-serif" w:hAnsi="Arial;Helvetica;sans-serif"/>
                <w:sz w:val="23"/>
              </w:rPr>
              <w:t>A.</w:t>
            </w:r>
          </w:p>
        </w:tc>
        <w:tc>
          <w:tcPr>
            <w:tcW w:w="9975" w:type="dxa"/>
            <w:tcBorders/>
            <w:vAlign w:val="center"/>
          </w:tcPr>
          <w:p>
            <w:pPr>
              <w:pStyle w:val="TableContents"/>
              <w:bidi w:val="0"/>
              <w:spacing w:before="0" w:after="283"/>
              <w:jc w:val="left"/>
              <w:rPr>
                <w:rFonts w:ascii="Arial;Helvetica;sans-serif" w:hAnsi="Arial;Helvetica;sans-serif"/>
                <w:b w:val="false"/>
                <w:i w:val="false"/>
                <w:caps w:val="false"/>
                <w:smallCaps w:val="false"/>
                <w:spacing w:val="-3"/>
                <w:sz w:val="22"/>
              </w:rPr>
            </w:pPr>
            <w:r>
              <w:rPr>
                <w:rFonts w:ascii="Arial;Helvetica;sans-serif" w:hAnsi="Arial;Helvetica;sans-serif"/>
                <w:b w:val="false"/>
                <w:i w:val="false"/>
                <w:caps w:val="false"/>
                <w:smallCaps w:val="false"/>
                <w:spacing w:val="-3"/>
                <w:sz w:val="22"/>
              </w:rPr>
              <w:t>RBT agrees to protect and hold Buyer harmless against any and all claims that Product in the state or form as sold under this Agreement infringes or allegedly infringes any Product claims of any South African or United States patent owned by third parties. RBT will, at its own cost and expense, defend any and all suits which may be brought against Buyer on account of said infringement of such patent or patents, and RBT shall pay any and all fees, costs and damages awarded in said suits; provided, however, that the total liability for damages under this Article XIV shall in no event exceed the aggregate sales price of Product sold to Buyer during the year in which such infringement commenced.</w:t>
            </w:r>
          </w:p>
        </w:tc>
      </w:tr>
    </w:tbl>
    <w:p>
      <w:pPr>
        <w:pStyle w:val="TextBody"/>
        <w:bidi w:val="0"/>
        <w:spacing w:before="0" w:after="0"/>
        <w:ind w:left="720" w:right="0" w:hanging="0"/>
        <w:jc w:val="both"/>
        <w:rPr>
          <w:spacing w:val="-3"/>
        </w:rPr>
      </w:pPr>
      <w:r>
        <w:rPr>
          <w:spacing w:val="-3"/>
        </w:rPr>
        <w:t>​</w:t>
      </w:r>
    </w:p>
    <w:tbl>
      <w:tblPr>
        <w:tblW w:w="8477" w:type="dxa"/>
        <w:jc w:val="left"/>
        <w:tblInd w:w="0" w:type="dxa"/>
        <w:tblLayout w:type="fixed"/>
        <w:tblCellMar>
          <w:top w:w="0" w:type="dxa"/>
          <w:left w:w="0" w:type="dxa"/>
          <w:bottom w:w="0" w:type="dxa"/>
          <w:right w:w="0" w:type="dxa"/>
        </w:tblCellMar>
      </w:tblPr>
      <w:tblGrid>
        <w:gridCol w:w="230"/>
        <w:gridCol w:w="8247"/>
      </w:tblGrid>
      <w:tr>
        <w:trPr/>
        <w:tc>
          <w:tcPr>
            <w:tcW w:w="230" w:type="dxa"/>
            <w:tcBorders/>
            <w:vAlign w:val="center"/>
          </w:tcPr>
          <w:p>
            <w:pPr>
              <w:pStyle w:val="TableContents"/>
              <w:bidi w:val="0"/>
              <w:spacing w:before="0" w:after="283"/>
              <w:jc w:val="left"/>
              <w:rPr>
                <w:rFonts w:ascii="Arial;Helvetica;sans-serif" w:hAnsi="Arial;Helvetica;sans-serif"/>
                <w:sz w:val="23"/>
              </w:rPr>
            </w:pPr>
            <w:r>
              <w:rPr>
                <w:rFonts w:ascii="Arial;Helvetica;sans-serif" w:hAnsi="Arial;Helvetica;sans-serif"/>
                <w:sz w:val="23"/>
              </w:rPr>
              <w:t>B.</w:t>
            </w:r>
          </w:p>
        </w:tc>
        <w:tc>
          <w:tcPr>
            <w:tcW w:w="8247" w:type="dxa"/>
            <w:tcBorders/>
            <w:vAlign w:val="center"/>
          </w:tcPr>
          <w:p>
            <w:pPr>
              <w:pStyle w:val="TableContents"/>
              <w:bidi w:val="0"/>
              <w:spacing w:before="0" w:after="283"/>
              <w:jc w:val="left"/>
              <w:rPr>
                <w:rFonts w:ascii="Arial;Helvetica;sans-serif" w:hAnsi="Arial;Helvetica;sans-serif"/>
                <w:b w:val="false"/>
                <w:i w:val="false"/>
                <w:caps w:val="false"/>
                <w:smallCaps w:val="false"/>
                <w:spacing w:val="-4"/>
                <w:sz w:val="22"/>
              </w:rPr>
            </w:pPr>
            <w:r>
              <w:rPr>
                <w:rFonts w:ascii="Arial;Helvetica;sans-serif" w:hAnsi="Arial;Helvetica;sans-serif"/>
                <w:b w:val="false"/>
                <w:i w:val="false"/>
                <w:caps w:val="false"/>
                <w:smallCaps w:val="false"/>
                <w:spacing w:val="-4"/>
                <w:sz w:val="22"/>
              </w:rPr>
              <w:t xml:space="preserve">RBT's obligations pursuant to Article XIV shall be conditional upon Buyer giving prompt </w:t>
            </w:r>
          </w:p>
        </w:tc>
      </w:tr>
    </w:tbl>
    <w:p>
      <w:pPr>
        <w:pStyle w:val="TextBody"/>
        <w:bidi w:val="0"/>
        <w:spacing w:before="0" w:after="0"/>
        <w:ind w:left="0" w:right="0" w:hanging="0"/>
        <w:jc w:val="center"/>
        <w:rPr>
          <w:rFonts w:ascii="Arial;Helvetica;sans-serif" w:hAnsi="Arial;Helvetica;sans-serif"/>
          <w:caps/>
          <w:sz w:val="20"/>
        </w:rPr>
      </w:pPr>
      <w:r>
        <w:rPr>
          <w:rFonts w:ascii="Arial;Helvetica;sans-serif" w:hAnsi="Arial;Helvetica;sans-serif"/>
          <w:caps/>
          <w:sz w:val="20"/>
        </w:rPr>
        <w:t>10</w:t>
      </w:r>
    </w:p>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tbl>
      <w:tblPr>
        <w:tblW w:w="10205" w:type="dxa"/>
        <w:jc w:val="left"/>
        <w:tblInd w:w="0" w:type="dxa"/>
        <w:tblLayout w:type="fixed"/>
        <w:tblCellMar>
          <w:top w:w="0" w:type="dxa"/>
          <w:left w:w="0" w:type="dxa"/>
          <w:bottom w:w="0" w:type="dxa"/>
          <w:right w:w="0" w:type="dxa"/>
        </w:tblCellMar>
      </w:tblPr>
      <w:tblGrid>
        <w:gridCol w:w="23"/>
        <w:gridCol w:w="10182"/>
      </w:tblGrid>
      <w:tr>
        <w:trPr/>
        <w:tc>
          <w:tcPr>
            <w:tcW w:w="23" w:type="dxa"/>
            <w:tcBorders/>
            <w:vAlign w:val="center"/>
          </w:tcPr>
          <w:p>
            <w:pPr>
              <w:pStyle w:val="TableContents"/>
              <w:bidi w:val="0"/>
              <w:spacing w:before="0" w:after="283"/>
              <w:jc w:val="left"/>
              <w:rPr>
                <w:sz w:val="4"/>
                <w:szCs w:val="4"/>
              </w:rPr>
            </w:pPr>
            <w:r>
              <w:rPr>
                <w:sz w:val="4"/>
                <w:szCs w:val="4"/>
              </w:rPr>
            </w:r>
          </w:p>
        </w:tc>
        <w:tc>
          <w:tcPr>
            <w:tcW w:w="10182" w:type="dxa"/>
            <w:tcBorders/>
            <w:vAlign w:val="center"/>
          </w:tcPr>
          <w:p>
            <w:pPr>
              <w:pStyle w:val="TableContents"/>
              <w:bidi w:val="0"/>
              <w:spacing w:before="0" w:after="283"/>
              <w:jc w:val="left"/>
              <w:rPr>
                <w:rFonts w:ascii="Arial;Helvetica;sans-serif" w:hAnsi="Arial;Helvetica;sans-serif"/>
                <w:b w:val="false"/>
                <w:i w:val="false"/>
                <w:caps w:val="false"/>
                <w:smallCaps w:val="false"/>
                <w:spacing w:val="-4"/>
                <w:sz w:val="22"/>
              </w:rPr>
            </w:pPr>
            <w:r>
              <w:rPr>
                <w:rFonts w:ascii="Arial;Helvetica;sans-serif" w:hAnsi="Arial;Helvetica;sans-serif"/>
                <w:b w:val="false"/>
                <w:i w:val="false"/>
                <w:caps w:val="false"/>
                <w:smallCaps w:val="false"/>
                <w:spacing w:val="-4"/>
                <w:sz w:val="22"/>
              </w:rPr>
              <w:t>notice to RBT of any claims by third parties of any such alleged infringement and of all information available to Buyer in respect of such alleged infringement or claim.</w:t>
            </w:r>
          </w:p>
        </w:tc>
      </w:tr>
    </w:tbl>
    <w:p>
      <w:pPr>
        <w:pStyle w:val="TextBody"/>
        <w:bidi w:val="0"/>
        <w:spacing w:before="0" w:after="0"/>
        <w:ind w:left="0" w:right="0" w:hanging="0"/>
        <w:jc w:val="left"/>
        <w:rPr>
          <w:spacing w:val="-2"/>
        </w:rPr>
      </w:pPr>
      <w:r>
        <w:rPr>
          <w:spacing w:val="-2"/>
        </w:rPr>
        <w:t>​</w:t>
      </w:r>
    </w:p>
    <w:p>
      <w:pPr>
        <w:pStyle w:val="TextBody"/>
        <w:bidi w:val="0"/>
        <w:spacing w:before="0" w:after="0"/>
        <w:ind w:left="0" w:right="0" w:hanging="0"/>
        <w:jc w:val="left"/>
        <w:rPr>
          <w:rFonts w:ascii="Arial;Helvetica;sans-serif" w:hAnsi="Arial;Helvetica;sans-serif"/>
          <w:b/>
          <w:spacing w:val="-2"/>
          <w:sz w:val="22"/>
        </w:rPr>
      </w:pPr>
      <w:r>
        <w:rPr>
          <w:rFonts w:ascii="Arial;Helvetica;sans-serif" w:hAnsi="Arial;Helvetica;sans-serif"/>
          <w:b/>
          <w:spacing w:val="-2"/>
          <w:sz w:val="22"/>
        </w:rPr>
        <w:t>ARTICLE XV. FORCE MA.IEURE</w:t>
      </w:r>
    </w:p>
    <w:p>
      <w:pPr>
        <w:pStyle w:val="TextBody"/>
        <w:bidi w:val="0"/>
        <w:spacing w:before="0" w:after="0"/>
        <w:ind w:left="0" w:right="0" w:hanging="0"/>
        <w:jc w:val="left"/>
        <w:rPr>
          <w:spacing w:val="-2"/>
        </w:rPr>
      </w:pPr>
      <w:r>
        <w:rPr>
          <w:spacing w:val="-2"/>
        </w:rPr>
        <w:t>​</w:t>
      </w:r>
    </w:p>
    <w:p>
      <w:pPr>
        <w:pStyle w:val="TextBody"/>
        <w:bidi w:val="0"/>
        <w:spacing w:before="0" w:after="0"/>
        <w:ind w:left="0" w:right="0" w:hanging="0"/>
        <w:jc w:val="both"/>
        <w:rPr>
          <w:rFonts w:ascii="Times New Roman;Times;serif" w:hAnsi="Times New Roman;Times;serif"/>
          <w:sz w:val="20"/>
        </w:rPr>
      </w:pPr>
      <w:r>
        <w:rPr>
          <w:rFonts w:ascii="Arial;Helvetica;sans-serif" w:hAnsi="Arial;Helvetica;sans-serif"/>
          <w:spacing w:val="-2"/>
          <w:sz w:val="22"/>
        </w:rPr>
        <w:t xml:space="preserve">In the event of any contingency which is beyond the reasonable control of RBT or Buyer including, but not limited to (i) any strike, lockout, industrial dispute, difference with workmen, accident, fire, explosion. earthquake, flood, mobilization, war (whether declared or undeclared), act of any belligerent in any such war, civil commotion, political demonstration or disturbance, riot, rebellion, revolution or blockage, (ii) any requirement, regulation, restriction, intervention, or other act of any Government, whether legal or otherwise, (iii) any inability to secure or delay in securing export licenses or import licenses, cargo space or other transportation facilities necessary for the shipment or receipt of Product or fuel or other supplies or material including but not limited to water, ilmenite ore or electric power necessary for the operation of the mines and plants where Product is produced or consumed, (iv) any delay in or interruption to transportation by rail, water or otherwise, (v) any damage to or destruction of such mines or plants or any breakdown of plants or machinery </w:t>
      </w:r>
      <w:r>
        <w:rPr>
          <w:rFonts w:ascii="Arial;Helvetica;sans-serif" w:hAnsi="Arial;Helvetica;sans-serif"/>
          <w:spacing w:val="-2"/>
          <w:sz w:val="22"/>
          <w:u w:val="single"/>
        </w:rPr>
        <w:t xml:space="preserve">of </w:t>
      </w:r>
      <w:r>
        <w:rPr>
          <w:rFonts w:ascii="Arial;Helvetica;sans-serif" w:hAnsi="Arial;Helvetica;sans-serif"/>
          <w:spacing w:val="-2"/>
          <w:sz w:val="22"/>
        </w:rPr>
        <w:t xml:space="preserve">RBT or Buyer, or (vi) any other contingency </w:t>
      </w:r>
      <w:r>
        <w:rPr>
          <w:rFonts w:ascii="Arial;Helvetica;sans-serif" w:hAnsi="Arial;Helvetica;sans-serif"/>
          <w:spacing w:val="-3"/>
          <w:sz w:val="22"/>
        </w:rPr>
        <w:t>which is beyond the reasonable control of RBT or Buyer, whether or not of the nature or character hereinbefore specifically enumerated, but excluding market conditions of any nature, which event delays or interferes with the performance of this Agreement or the consumption of Product, in spite of the affected parties' bona fide efforts to mitigate such event, then such event shall be considered sufficient justification for delay in making shipment or delivery or taking delivery or performance hereunder (other than the payment of money), in whole or in part, until such event ceases to exist, and this Agreement shall be deemed suspended for so long as such event delays or interferes with the performance hereof, provided that prompt notice (normally within one week of the occurrence of the event) of the commencement and end of any such event is given by the party affected to the other party. Any delay or interference which affects RBT' s supply of Product to customers shall entitle RBT to allocate equitably any available Product among customers in its discretion. During the pendency of any Force Majeure declared by RBT, Buyer [***] for such year shall be adjusted accordingly.</w:t>
      </w:r>
    </w:p>
    <w:p>
      <w:pPr>
        <w:pStyle w:val="TextBody"/>
        <w:bidi w:val="0"/>
        <w:spacing w:before="0" w:after="0"/>
        <w:ind w:left="0" w:right="0" w:hanging="0"/>
        <w:jc w:val="both"/>
        <w:rPr>
          <w:spacing w:val="-3"/>
        </w:rPr>
      </w:pPr>
      <w:r>
        <w:rPr>
          <w:spacing w:val="-3"/>
        </w:rPr>
        <w:t>​</w:t>
      </w:r>
    </w:p>
    <w:p>
      <w:pPr>
        <w:pStyle w:val="TextBody"/>
        <w:bidi w:val="0"/>
        <w:spacing w:before="0" w:after="0"/>
        <w:ind w:left="0" w:right="72" w:hanging="0"/>
        <w:jc w:val="both"/>
        <w:rPr>
          <w:rFonts w:ascii="Arial;Helvetica;sans-serif" w:hAnsi="Arial;Helvetica;sans-serif"/>
          <w:sz w:val="22"/>
        </w:rPr>
      </w:pPr>
      <w:r>
        <w:rPr>
          <w:rFonts w:ascii="Arial;Helvetica;sans-serif" w:hAnsi="Arial;Helvetica;sans-serif"/>
          <w:sz w:val="22"/>
        </w:rPr>
        <w:t>Anything to the contrary hereinabove notwithstanding, if such event occurs, the obligation of RBT to sell and deliver and of Buyer to buy and to take delivery of Product with respect to any year shall terminate unless otherwise agreed between the parties at the end of the year as to quantities of Product which have not been loaded aboard Buyer's Vessel at Richards Bay, by the end of the year due to such event. Nothing contained in this Article shall require Buyer to pay for, or RBT to make up or compensate for, any Product not delivered due to application of this Article. Either party may terminate the Agreement if such event continues for more than one hundred and eighty (180) days.</w:t>
      </w:r>
    </w:p>
    <w:p>
      <w:pPr>
        <w:pStyle w:val="TextBody"/>
        <w:bidi w:val="0"/>
        <w:spacing w:before="0" w:after="0"/>
        <w:ind w:left="0" w:right="72" w:hanging="0"/>
        <w:jc w:val="both"/>
        <w:rPr/>
      </w:pPr>
      <w:r>
        <w:rPr/>
        <w:t>​</w:t>
      </w:r>
    </w:p>
    <w:p>
      <w:pPr>
        <w:pStyle w:val="TextBody"/>
        <w:bidi w:val="0"/>
        <w:spacing w:before="0" w:after="0"/>
        <w:ind w:left="0" w:right="72" w:hanging="0"/>
        <w:jc w:val="left"/>
        <w:rPr>
          <w:rFonts w:ascii="Arial;Helvetica;sans-serif" w:hAnsi="Arial;Helvetica;sans-serif"/>
          <w:b/>
          <w:spacing w:val="4"/>
          <w:sz w:val="22"/>
        </w:rPr>
      </w:pPr>
      <w:r>
        <w:rPr>
          <w:rFonts w:ascii="Arial;Helvetica;sans-serif" w:hAnsi="Arial;Helvetica;sans-serif"/>
          <w:b/>
          <w:spacing w:val="4"/>
          <w:sz w:val="22"/>
        </w:rPr>
        <w:t>ARTICLE XVI. DEFAULT &amp; LIMITS OF LIABILITY</w:t>
      </w:r>
    </w:p>
    <w:p>
      <w:pPr>
        <w:pStyle w:val="TextBody"/>
        <w:bidi w:val="0"/>
        <w:spacing w:before="0" w:after="0"/>
        <w:ind w:left="0" w:right="72" w:hanging="0"/>
        <w:jc w:val="left"/>
        <w:rPr>
          <w:spacing w:val="4"/>
        </w:rPr>
      </w:pPr>
      <w:r>
        <w:rPr>
          <w:spacing w:val="4"/>
        </w:rPr>
        <w:t>​</w:t>
      </w:r>
    </w:p>
    <w:p>
      <w:pPr>
        <w:pStyle w:val="TextBody"/>
        <w:bidi w:val="0"/>
        <w:spacing w:before="0" w:after="0"/>
        <w:ind w:left="0" w:right="72" w:hanging="0"/>
        <w:jc w:val="both"/>
        <w:rPr>
          <w:rFonts w:ascii="Arial;Helvetica;sans-serif" w:hAnsi="Arial;Helvetica;sans-serif"/>
          <w:sz w:val="22"/>
        </w:rPr>
      </w:pPr>
      <w:r>
        <w:rPr>
          <w:rFonts w:ascii="Arial;Helvetica;sans-serif" w:hAnsi="Arial;Helvetica;sans-serif"/>
          <w:sz w:val="22"/>
        </w:rPr>
        <w:t>For purposes of Article XVI, a "default" shall mean any failure by either party to make any payment when due or to perform any obligation under or pursuant to this Agreement for any reason other than an event of Force Majeure as defined in Article XV.</w:t>
      </w:r>
    </w:p>
    <w:p>
      <w:pPr>
        <w:pStyle w:val="TextBody"/>
        <w:bidi w:val="0"/>
        <w:spacing w:before="0" w:after="0"/>
        <w:ind w:left="0" w:right="72" w:hanging="0"/>
        <w:jc w:val="both"/>
        <w:rPr/>
      </w:pPr>
      <w:r>
        <w:rPr/>
        <w:t>​</w:t>
      </w:r>
    </w:p>
    <w:p>
      <w:pPr>
        <w:pStyle w:val="TextBody"/>
        <w:bidi w:val="0"/>
        <w:spacing w:before="0" w:after="0"/>
        <w:ind w:left="0" w:right="72" w:hanging="0"/>
        <w:jc w:val="both"/>
        <w:rPr>
          <w:rFonts w:ascii="Arial;Helvetica;sans-serif" w:hAnsi="Arial;Helvetica;sans-serif"/>
          <w:sz w:val="22"/>
        </w:rPr>
      </w:pPr>
      <w:r>
        <w:rPr>
          <w:rFonts w:ascii="Arial;Helvetica;sans-serif" w:hAnsi="Arial;Helvetica;sans-serif"/>
          <w:sz w:val="22"/>
        </w:rPr>
        <w:t>No default shall be deemed to have occurred unless the party in default shall have first been given written notice of such default and shall have failed to cure such default within thirty (30) days in the event of a failure to pay and in all other events, within sixty (60) days after receipt of such written notice.</w:t>
      </w:r>
    </w:p>
    <w:p>
      <w:pPr>
        <w:pStyle w:val="TextBody"/>
        <w:bidi w:val="0"/>
        <w:spacing w:before="0" w:after="0"/>
        <w:ind w:left="0" w:right="72" w:hanging="0"/>
        <w:jc w:val="both"/>
        <w:rPr>
          <w:spacing w:val="-3"/>
        </w:rPr>
      </w:pPr>
      <w:r>
        <w:rPr>
          <w:spacing w:val="-3"/>
        </w:rPr>
        <w:t>​</w:t>
      </w:r>
    </w:p>
    <w:p>
      <w:pPr>
        <w:pStyle w:val="TextBody"/>
        <w:bidi w:val="0"/>
        <w:spacing w:before="0" w:after="0"/>
        <w:ind w:left="0" w:right="72" w:hanging="0"/>
        <w:jc w:val="both"/>
        <w:rPr>
          <w:rFonts w:ascii="Times New Roman;Times;serif" w:hAnsi="Times New Roman;Times;serif"/>
          <w:sz w:val="20"/>
        </w:rPr>
      </w:pPr>
      <w:r>
        <w:rPr>
          <w:rFonts w:ascii="Arial;Helvetica;sans-serif" w:hAnsi="Arial;Helvetica;sans-serif"/>
          <w:spacing w:val="-3"/>
          <w:sz w:val="22"/>
        </w:rPr>
        <w:t xml:space="preserve">In the event of a default arising from a breach of Buyer's duty to pay for Product delivered or for the total quantity of Product to be purchased in any particular year, RBT shall have the right to </w:t>
      </w:r>
      <w:r>
        <w:rPr>
          <w:rFonts w:ascii="Arial;Helvetica;sans-serif" w:hAnsi="Arial;Helvetica;sans-serif"/>
          <w:color w:val="181818"/>
          <w:sz w:val="22"/>
        </w:rPr>
        <w:t xml:space="preserve">seek damages for all loss or damage actually sustained as a direct result of the default. In addition, RBT shall have the right (subject to Buyer's right to cure its default pursuant to this </w:t>
      </w:r>
    </w:p>
    <w:p>
      <w:pPr>
        <w:pStyle w:val="TextBody"/>
        <w:bidi w:val="0"/>
        <w:spacing w:before="0" w:after="0"/>
        <w:ind w:left="0" w:right="0" w:hanging="0"/>
        <w:jc w:val="center"/>
        <w:rPr>
          <w:rFonts w:ascii="Arial;Helvetica;sans-serif" w:hAnsi="Arial;Helvetica;sans-serif"/>
          <w:caps/>
          <w:sz w:val="20"/>
        </w:rPr>
      </w:pPr>
      <w:r>
        <w:rPr>
          <w:rFonts w:ascii="Arial;Helvetica;sans-serif" w:hAnsi="Arial;Helvetica;sans-serif"/>
          <w:caps/>
          <w:sz w:val="20"/>
        </w:rPr>
        <w:t>11</w:t>
      </w:r>
    </w:p>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0"/>
        <w:ind w:left="0" w:right="72" w:hanging="0"/>
        <w:jc w:val="both"/>
        <w:rPr>
          <w:rFonts w:ascii="Arial;Helvetica;sans-serif" w:hAnsi="Arial;Helvetica;sans-serif"/>
          <w:color w:val="181818"/>
          <w:sz w:val="22"/>
        </w:rPr>
      </w:pPr>
      <w:r>
        <w:rPr>
          <w:rFonts w:ascii="Arial;Helvetica;sans-serif" w:hAnsi="Arial;Helvetica;sans-serif"/>
          <w:color w:val="181818"/>
          <w:sz w:val="22"/>
        </w:rPr>
        <w:t>Article) to terminate this Agreement forthwith by providing notice to such effect to Buyer. Notwithstanding anything contained herein to the contrary, in no event shall Buyer be liable for consequential, indirect or special damages as a result of a default for failure to pay under this Agreement.</w:t>
      </w:r>
    </w:p>
    <w:p>
      <w:pPr>
        <w:pStyle w:val="TextBody"/>
        <w:bidi w:val="0"/>
        <w:spacing w:before="0" w:after="0"/>
        <w:ind w:left="0" w:right="72" w:hanging="0"/>
        <w:jc w:val="both"/>
        <w:rPr>
          <w:color w:val="181818"/>
        </w:rPr>
      </w:pPr>
      <w:r>
        <w:rPr>
          <w:color w:val="181818"/>
        </w:rPr>
        <w:t>​</w:t>
      </w:r>
    </w:p>
    <w:p>
      <w:pPr>
        <w:pStyle w:val="TextBody"/>
        <w:bidi w:val="0"/>
        <w:spacing w:before="0" w:after="0"/>
        <w:ind w:left="0" w:right="0" w:hanging="0"/>
        <w:jc w:val="both"/>
        <w:rPr>
          <w:rFonts w:ascii="Arial;Helvetica;sans-serif" w:hAnsi="Arial;Helvetica;sans-serif"/>
          <w:color w:val="181818"/>
          <w:sz w:val="22"/>
        </w:rPr>
      </w:pPr>
      <w:r>
        <w:rPr>
          <w:rFonts w:ascii="Arial;Helvetica;sans-serif" w:hAnsi="Arial;Helvetica;sans-serif"/>
          <w:color w:val="181818"/>
          <w:sz w:val="22"/>
        </w:rPr>
        <w:t>In the event of any default by RBT arising from a failure to deliver Product pursuant to this Agreement, RBT (subject to RBT's rights to cure its default pursuant to this Article) shall compensate Buyer for all loss or damage actually sustained as a direct result of the failure to deliver but excluding indirect, consequential, punitive or contingent damages of the default Buyer may suffer therewith including, but not limited to, loss of revenue or profits as a result of Buyer's inability to operate, or shutdown of its operations, loss of use of equipment, or cost of substitute equipment, claims of third parties, and the like.</w:t>
      </w:r>
    </w:p>
    <w:p>
      <w:pPr>
        <w:pStyle w:val="TextBody"/>
        <w:bidi w:val="0"/>
        <w:spacing w:before="0" w:after="0"/>
        <w:ind w:left="0" w:right="0" w:hanging="0"/>
        <w:jc w:val="left"/>
        <w:rPr>
          <w:color w:val="181818"/>
          <w:spacing w:val="-1"/>
        </w:rPr>
      </w:pPr>
      <w:r>
        <w:rPr>
          <w:color w:val="181818"/>
          <w:spacing w:val="-1"/>
        </w:rPr>
        <w:t>​</w:t>
      </w:r>
    </w:p>
    <w:p>
      <w:pPr>
        <w:pStyle w:val="TextBody"/>
        <w:bidi w:val="0"/>
        <w:spacing w:before="0" w:after="0"/>
        <w:ind w:left="0" w:right="0" w:hanging="0"/>
        <w:jc w:val="left"/>
        <w:rPr>
          <w:rFonts w:ascii="Arial;Helvetica;sans-serif" w:hAnsi="Arial;Helvetica;sans-serif"/>
          <w:b/>
          <w:color w:val="181818"/>
          <w:spacing w:val="-1"/>
          <w:sz w:val="22"/>
        </w:rPr>
      </w:pPr>
      <w:r>
        <w:rPr>
          <w:rFonts w:ascii="Arial;Helvetica;sans-serif" w:hAnsi="Arial;Helvetica;sans-serif"/>
          <w:b/>
          <w:color w:val="181818"/>
          <w:spacing w:val="-1"/>
          <w:sz w:val="22"/>
        </w:rPr>
        <w:t>ARTICLE XVII. WAIVER OF DEFAULT</w:t>
      </w:r>
    </w:p>
    <w:p>
      <w:pPr>
        <w:pStyle w:val="TextBody"/>
        <w:bidi w:val="0"/>
        <w:spacing w:before="0" w:after="0"/>
        <w:ind w:left="0" w:right="0" w:hanging="0"/>
        <w:jc w:val="left"/>
        <w:rPr>
          <w:color w:val="181818"/>
          <w:spacing w:val="-1"/>
        </w:rPr>
      </w:pPr>
      <w:r>
        <w:rPr>
          <w:color w:val="181818"/>
          <w:spacing w:val="-1"/>
        </w:rPr>
        <w:t>​</w:t>
      </w:r>
    </w:p>
    <w:p>
      <w:pPr>
        <w:pStyle w:val="TextBody"/>
        <w:bidi w:val="0"/>
        <w:spacing w:before="0" w:after="0"/>
        <w:ind w:left="0" w:right="0" w:hanging="0"/>
        <w:jc w:val="both"/>
        <w:rPr>
          <w:rFonts w:ascii="Arial;Helvetica;sans-serif" w:hAnsi="Arial;Helvetica;sans-serif"/>
          <w:color w:val="181818"/>
          <w:sz w:val="22"/>
        </w:rPr>
      </w:pPr>
      <w:r>
        <w:rPr>
          <w:rFonts w:ascii="Arial;Helvetica;sans-serif" w:hAnsi="Arial;Helvetica;sans-serif"/>
          <w:color w:val="181818"/>
          <w:sz w:val="22"/>
        </w:rPr>
        <w:t>Any failure by either party to give notice in writing to the other party of any breach or default in any terms or conditions of this Agreement shall not constitute a waiver thereof, nor shall any delay by either party in enforcing any of its rights hereunder be deemed a waiver of such rights nor shall a waiver by either party of any defaults of the other party be deemed a waiver of any other or subsequent defaults.</w:t>
      </w:r>
    </w:p>
    <w:p>
      <w:pPr>
        <w:pStyle w:val="TextBody"/>
        <w:bidi w:val="0"/>
        <w:spacing w:before="0" w:after="0"/>
        <w:ind w:left="0" w:right="0" w:hanging="0"/>
        <w:jc w:val="left"/>
        <w:rPr>
          <w:color w:val="181818"/>
          <w:spacing w:val="-1"/>
        </w:rPr>
      </w:pPr>
      <w:r>
        <w:rPr>
          <w:color w:val="181818"/>
          <w:spacing w:val="-1"/>
        </w:rPr>
        <w:t>​</w:t>
      </w:r>
    </w:p>
    <w:p>
      <w:pPr>
        <w:pStyle w:val="TextBody"/>
        <w:bidi w:val="0"/>
        <w:spacing w:before="0" w:after="0"/>
        <w:ind w:left="0" w:right="0" w:hanging="0"/>
        <w:jc w:val="left"/>
        <w:rPr>
          <w:rFonts w:ascii="Arial;Helvetica;sans-serif" w:hAnsi="Arial;Helvetica;sans-serif"/>
          <w:b/>
          <w:color w:val="181818"/>
          <w:spacing w:val="-1"/>
          <w:sz w:val="22"/>
        </w:rPr>
      </w:pPr>
      <w:r>
        <w:rPr>
          <w:rFonts w:ascii="Arial;Helvetica;sans-serif" w:hAnsi="Arial;Helvetica;sans-serif"/>
          <w:b/>
          <w:color w:val="181818"/>
          <w:spacing w:val="-1"/>
          <w:sz w:val="22"/>
        </w:rPr>
        <w:t>ARTICLE XVIII. CONFIDENTIALITY</w:t>
      </w:r>
    </w:p>
    <w:p>
      <w:pPr>
        <w:pStyle w:val="TextBody"/>
        <w:bidi w:val="0"/>
        <w:spacing w:before="0" w:after="0"/>
        <w:ind w:left="0" w:right="0" w:hanging="0"/>
        <w:jc w:val="both"/>
        <w:rPr>
          <w:color w:val="181818"/>
        </w:rPr>
      </w:pPr>
      <w:r>
        <w:rPr>
          <w:color w:val="181818"/>
        </w:rPr>
        <w:t>​</w:t>
      </w:r>
    </w:p>
    <w:p>
      <w:pPr>
        <w:pStyle w:val="TextBody"/>
        <w:bidi w:val="0"/>
        <w:spacing w:before="0" w:after="0"/>
        <w:ind w:left="0" w:right="0" w:hanging="0"/>
        <w:jc w:val="both"/>
        <w:rPr>
          <w:rFonts w:ascii="Arial;Helvetica;sans-serif" w:hAnsi="Arial;Helvetica;sans-serif"/>
          <w:color w:val="181818"/>
          <w:sz w:val="22"/>
        </w:rPr>
      </w:pPr>
      <w:r>
        <w:rPr>
          <w:rFonts w:ascii="Arial;Helvetica;sans-serif" w:hAnsi="Arial;Helvetica;sans-serif"/>
          <w:color w:val="181818"/>
          <w:sz w:val="22"/>
        </w:rPr>
        <w:t>This Agreement and information obtained by one party from the other by virtue of this Agreement, shall remain confidential and shall not be disclosed to any third party without the prior written consent of the other party, unless such information is publicly available, or previously known to the recipient or is required to be disclosed by law.</w:t>
      </w:r>
    </w:p>
    <w:p>
      <w:pPr>
        <w:pStyle w:val="TextBody"/>
        <w:bidi w:val="0"/>
        <w:spacing w:before="0" w:after="0"/>
        <w:ind w:left="0" w:right="0" w:hanging="0"/>
        <w:jc w:val="left"/>
        <w:rPr>
          <w:color w:val="181818"/>
          <w:spacing w:val="-1"/>
        </w:rPr>
      </w:pPr>
      <w:r>
        <w:rPr>
          <w:color w:val="181818"/>
          <w:spacing w:val="-1"/>
        </w:rPr>
        <w:t>​</w:t>
      </w:r>
    </w:p>
    <w:p>
      <w:pPr>
        <w:pStyle w:val="TextBody"/>
        <w:bidi w:val="0"/>
        <w:spacing w:before="0" w:after="0"/>
        <w:ind w:left="0" w:right="0" w:hanging="0"/>
        <w:jc w:val="left"/>
        <w:rPr>
          <w:rFonts w:ascii="Arial;Helvetica;sans-serif" w:hAnsi="Arial;Helvetica;sans-serif"/>
          <w:b/>
          <w:color w:val="181818"/>
          <w:spacing w:val="-1"/>
          <w:sz w:val="22"/>
        </w:rPr>
      </w:pPr>
      <w:r>
        <w:rPr>
          <w:rFonts w:ascii="Arial;Helvetica;sans-serif" w:hAnsi="Arial;Helvetica;sans-serif"/>
          <w:b/>
          <w:color w:val="181818"/>
          <w:spacing w:val="-1"/>
          <w:sz w:val="22"/>
        </w:rPr>
        <w:t>ARTICLE XIX. NOTICES</w:t>
      </w:r>
    </w:p>
    <w:p>
      <w:pPr>
        <w:pStyle w:val="TextBody"/>
        <w:bidi w:val="0"/>
        <w:spacing w:before="0" w:after="0"/>
        <w:ind w:left="0" w:right="0" w:hanging="0"/>
        <w:jc w:val="both"/>
        <w:rPr>
          <w:color w:val="181818"/>
        </w:rPr>
      </w:pPr>
      <w:r>
        <w:rPr>
          <w:color w:val="181818"/>
        </w:rPr>
        <w:t>​</w:t>
      </w:r>
    </w:p>
    <w:p>
      <w:pPr>
        <w:pStyle w:val="TextBody"/>
        <w:bidi w:val="0"/>
        <w:spacing w:before="0" w:after="0"/>
        <w:ind w:left="0" w:right="0" w:hanging="0"/>
        <w:jc w:val="both"/>
        <w:rPr>
          <w:rFonts w:ascii="Arial;Helvetica;sans-serif" w:hAnsi="Arial;Helvetica;sans-serif"/>
          <w:color w:val="181818"/>
          <w:sz w:val="22"/>
        </w:rPr>
      </w:pPr>
      <w:r>
        <w:rPr>
          <w:rFonts w:ascii="Arial;Helvetica;sans-serif" w:hAnsi="Arial;Helvetica;sans-serif"/>
          <w:color w:val="181818"/>
          <w:sz w:val="22"/>
        </w:rPr>
        <w:t>Any notice to be given to any party under the terms of this Agreement shall be deemed to have been delivered by courier service or transmitted by telefax and subsequently confirmed by prepaid registered mail to the respective addresses or telefax numbers given below:</w:t>
      </w:r>
    </w:p>
    <w:p>
      <w:pPr>
        <w:pStyle w:val="TextBody"/>
        <w:bidi w:val="0"/>
        <w:spacing w:before="0" w:after="0"/>
        <w:ind w:left="0" w:right="0" w:hanging="0"/>
        <w:jc w:val="both"/>
        <w:rPr>
          <w:color w:val="181818"/>
        </w:rPr>
      </w:pPr>
      <w:r>
        <w:rPr>
          <w:color w:val="181818"/>
        </w:rPr>
        <w:t>​</w:t>
      </w:r>
    </w:p>
    <w:p>
      <w:pPr>
        <w:pStyle w:val="TextBody"/>
        <w:bidi w:val="0"/>
        <w:spacing w:before="0" w:after="0"/>
        <w:ind w:left="0" w:right="0" w:hanging="0"/>
        <w:jc w:val="both"/>
        <w:rPr>
          <w:color w:val="181818"/>
        </w:rPr>
      </w:pPr>
      <w:r>
        <w:rPr>
          <w:color w:val="181818"/>
        </w:rPr>
        <w:t>​</w:t>
      </w:r>
    </w:p>
    <w:tbl>
      <w:tblPr>
        <w:tblW w:w="4645" w:type="dxa"/>
        <w:jc w:val="left"/>
        <w:tblInd w:w="0" w:type="dxa"/>
        <w:tblLayout w:type="fixed"/>
        <w:tblCellMar>
          <w:top w:w="0" w:type="dxa"/>
          <w:left w:w="0" w:type="dxa"/>
          <w:bottom w:w="0" w:type="dxa"/>
          <w:right w:w="0" w:type="dxa"/>
        </w:tblCellMar>
      </w:tblPr>
      <w:tblGrid>
        <w:gridCol w:w="920"/>
        <w:gridCol w:w="3725"/>
      </w:tblGrid>
      <w:tr>
        <w:trPr/>
        <w:tc>
          <w:tcPr>
            <w:tcW w:w="920" w:type="dxa"/>
            <w:tcBorders/>
            <w:vAlign w:val="center"/>
          </w:tcPr>
          <w:p>
            <w:pPr>
              <w:pStyle w:val="TableContents"/>
              <w:bidi w:val="0"/>
              <w:spacing w:before="0" w:after="0"/>
              <w:jc w:val="both"/>
              <w:rPr>
                <w:rFonts w:ascii="Times New Roman;Times;serif" w:hAnsi="Times New Roman;Times;serif"/>
                <w:sz w:val="20"/>
              </w:rPr>
            </w:pPr>
            <w:r>
              <w:rPr>
                <w:rFonts w:ascii="Arial;Helvetica;sans-serif" w:hAnsi="Arial;Helvetica;sans-serif"/>
                <w:b/>
                <w:color w:val="181818"/>
                <w:sz w:val="22"/>
              </w:rPr>
              <w:t>TO RBT</w:t>
            </w:r>
            <w:r>
              <w:rPr>
                <w:rFonts w:ascii="Arial;Helvetica;sans-serif" w:hAnsi="Arial;Helvetica;sans-serif"/>
                <w:color w:val="181818"/>
                <w:sz w:val="22"/>
              </w:rPr>
              <w:t>:</w:t>
            </w:r>
          </w:p>
        </w:tc>
        <w:tc>
          <w:tcPr>
            <w:tcW w:w="3725" w:type="dxa"/>
            <w:tcBorders/>
            <w:vAlign w:val="center"/>
          </w:tcPr>
          <w:p>
            <w:pPr>
              <w:pStyle w:val="TableContents"/>
              <w:bidi w:val="0"/>
              <w:spacing w:before="0" w:after="0"/>
              <w:jc w:val="both"/>
              <w:rPr>
                <w:rFonts w:ascii="Arial;Helvetica;sans-serif" w:hAnsi="Arial;Helvetica;sans-serif"/>
                <w:b/>
                <w:color w:val="181818"/>
                <w:sz w:val="22"/>
              </w:rPr>
            </w:pPr>
            <w:r>
              <w:rPr>
                <w:rFonts w:ascii="Arial;Helvetica;sans-serif" w:hAnsi="Arial;Helvetica;sans-serif"/>
                <w:b/>
                <w:color w:val="181818"/>
                <w:sz w:val="22"/>
              </w:rPr>
              <w:t>c/o Rio Tinto Iron and Titanium Ltd.</w:t>
            </w:r>
          </w:p>
        </w:tc>
      </w:tr>
    </w:tbl>
    <w:p>
      <w:pPr>
        <w:pStyle w:val="TextBody"/>
        <w:bidi w:val="0"/>
        <w:spacing w:before="0" w:after="0"/>
        <w:ind w:left="1440" w:right="0" w:hanging="0"/>
        <w:jc w:val="both"/>
        <w:rPr>
          <w:rFonts w:ascii="Arial;Helvetica;sans-serif" w:hAnsi="Arial;Helvetica;sans-serif"/>
          <w:color w:val="181818"/>
          <w:sz w:val="22"/>
        </w:rPr>
      </w:pPr>
      <w:r>
        <w:rPr>
          <w:rFonts w:ascii="Arial;Helvetica;sans-serif" w:hAnsi="Arial;Helvetica;sans-serif"/>
          <w:color w:val="181818"/>
          <w:sz w:val="22"/>
        </w:rPr>
        <w:t>St James’s Square</w:t>
      </w:r>
    </w:p>
    <w:p>
      <w:pPr>
        <w:pStyle w:val="TextBody"/>
        <w:bidi w:val="0"/>
        <w:spacing w:before="0" w:after="0"/>
        <w:ind w:left="1440" w:right="0" w:hanging="0"/>
        <w:jc w:val="both"/>
        <w:rPr>
          <w:rFonts w:ascii="Arial;Helvetica;sans-serif" w:hAnsi="Arial;Helvetica;sans-serif"/>
          <w:color w:val="181818"/>
          <w:sz w:val="22"/>
        </w:rPr>
      </w:pPr>
      <w:r>
        <w:rPr>
          <w:rFonts w:ascii="Arial;Helvetica;sans-serif" w:hAnsi="Arial;Helvetica;sans-serif"/>
          <w:color w:val="181818"/>
          <w:sz w:val="22"/>
        </w:rPr>
        <w:t>London, SW1Y 4AD</w:t>
      </w:r>
    </w:p>
    <w:p>
      <w:pPr>
        <w:pStyle w:val="TextBody"/>
        <w:bidi w:val="0"/>
        <w:spacing w:before="0" w:after="0"/>
        <w:ind w:left="1440" w:right="0" w:hanging="0"/>
        <w:jc w:val="both"/>
        <w:rPr>
          <w:rFonts w:ascii="Arial;Helvetica;sans-serif" w:hAnsi="Arial;Helvetica;sans-serif"/>
          <w:color w:val="181818"/>
          <w:sz w:val="22"/>
        </w:rPr>
      </w:pPr>
      <w:r>
        <w:rPr>
          <w:rFonts w:ascii="Arial;Helvetica;sans-serif" w:hAnsi="Arial;Helvetica;sans-serif"/>
          <w:color w:val="181818"/>
          <w:sz w:val="22"/>
        </w:rPr>
        <w:t>United Kingdom</w:t>
      </w:r>
    </w:p>
    <w:p>
      <w:pPr>
        <w:pStyle w:val="TextBody"/>
        <w:bidi w:val="0"/>
        <w:spacing w:before="0" w:after="0"/>
        <w:ind w:left="1440" w:right="0" w:hanging="0"/>
        <w:jc w:val="both"/>
        <w:rPr>
          <w:rFonts w:ascii="Arial;Helvetica;sans-serif" w:hAnsi="Arial;Helvetica;sans-serif"/>
          <w:color w:val="181818"/>
          <w:sz w:val="22"/>
        </w:rPr>
      </w:pPr>
      <w:r>
        <w:rPr>
          <w:rFonts w:ascii="Arial;Helvetica;sans-serif" w:hAnsi="Arial;Helvetica;sans-serif"/>
          <w:color w:val="181818"/>
          <w:sz w:val="22"/>
        </w:rPr>
        <w:t>Telefax:  (44) 20 7781 1819</w:t>
      </w:r>
    </w:p>
    <w:p>
      <w:pPr>
        <w:pStyle w:val="TextBody"/>
        <w:bidi w:val="0"/>
        <w:spacing w:before="0" w:after="0"/>
        <w:ind w:left="1440" w:right="0" w:hanging="0"/>
        <w:jc w:val="both"/>
        <w:rPr>
          <w:rFonts w:ascii="Arial;Helvetica;sans-serif" w:hAnsi="Arial;Helvetica;sans-serif"/>
          <w:color w:val="181818"/>
          <w:sz w:val="22"/>
        </w:rPr>
      </w:pPr>
      <w:r>
        <w:rPr>
          <w:rFonts w:ascii="Arial;Helvetica;sans-serif" w:hAnsi="Arial;Helvetica;sans-serif"/>
          <w:color w:val="181818"/>
          <w:sz w:val="22"/>
        </w:rPr>
        <w:t>Attention:  General Manager Sales &amp; Marketing, Ti02 Products</w:t>
      </w:r>
    </w:p>
    <w:p>
      <w:pPr>
        <w:pStyle w:val="TextBody"/>
        <w:bidi w:val="0"/>
        <w:spacing w:before="0" w:after="0"/>
        <w:ind w:left="0" w:right="0" w:hanging="0"/>
        <w:jc w:val="both"/>
        <w:rPr>
          <w:color w:val="181818"/>
        </w:rPr>
      </w:pPr>
      <w:r>
        <w:rPr>
          <w:color w:val="181818"/>
        </w:rPr>
        <w:t>​</w:t>
      </w:r>
    </w:p>
    <w:tbl>
      <w:tblPr>
        <w:tblW w:w="3010" w:type="dxa"/>
        <w:jc w:val="left"/>
        <w:tblInd w:w="0" w:type="dxa"/>
        <w:tblLayout w:type="fixed"/>
        <w:tblCellMar>
          <w:top w:w="0" w:type="dxa"/>
          <w:left w:w="0" w:type="dxa"/>
          <w:bottom w:w="0" w:type="dxa"/>
          <w:right w:w="0" w:type="dxa"/>
        </w:tblCellMar>
      </w:tblPr>
      <w:tblGrid>
        <w:gridCol w:w="1250"/>
        <w:gridCol w:w="1760"/>
      </w:tblGrid>
      <w:tr>
        <w:trPr/>
        <w:tc>
          <w:tcPr>
            <w:tcW w:w="1250" w:type="dxa"/>
            <w:tcBorders/>
            <w:vAlign w:val="center"/>
          </w:tcPr>
          <w:p>
            <w:pPr>
              <w:pStyle w:val="TableContents"/>
              <w:bidi w:val="0"/>
              <w:spacing w:before="0" w:after="0"/>
              <w:jc w:val="both"/>
              <w:rPr>
                <w:rFonts w:ascii="Times New Roman;Times;serif" w:hAnsi="Times New Roman;Times;serif"/>
                <w:sz w:val="20"/>
              </w:rPr>
            </w:pPr>
            <w:r>
              <w:rPr>
                <w:rFonts w:ascii="Arial;Helvetica;sans-serif" w:hAnsi="Arial;Helvetica;sans-serif"/>
                <w:b/>
                <w:color w:val="181818"/>
                <w:sz w:val="22"/>
              </w:rPr>
              <w:t>TO BUYER</w:t>
            </w:r>
            <w:r>
              <w:rPr>
                <w:rFonts w:ascii="Arial;Helvetica;sans-serif" w:hAnsi="Arial;Helvetica;sans-serif"/>
                <w:color w:val="181818"/>
                <w:sz w:val="22"/>
              </w:rPr>
              <w:t>:</w:t>
            </w:r>
          </w:p>
        </w:tc>
        <w:tc>
          <w:tcPr>
            <w:tcW w:w="1760" w:type="dxa"/>
            <w:tcBorders/>
            <w:vAlign w:val="center"/>
          </w:tcPr>
          <w:p>
            <w:pPr>
              <w:pStyle w:val="TableContents"/>
              <w:bidi w:val="0"/>
              <w:spacing w:before="0" w:after="0"/>
              <w:jc w:val="both"/>
              <w:rPr>
                <w:rFonts w:ascii="Arial;Helvetica;sans-serif" w:hAnsi="Arial;Helvetica;sans-serif"/>
                <w:b/>
                <w:color w:val="181818"/>
                <w:sz w:val="22"/>
              </w:rPr>
            </w:pPr>
            <w:r>
              <w:rPr>
                <w:rFonts w:ascii="Arial;Helvetica;sans-serif" w:hAnsi="Arial;Helvetica;sans-serif"/>
                <w:b/>
                <w:color w:val="181818"/>
                <w:sz w:val="22"/>
              </w:rPr>
              <w:t>Kronos (US) Inc.</w:t>
            </w:r>
          </w:p>
        </w:tc>
      </w:tr>
    </w:tbl>
    <w:p>
      <w:pPr>
        <w:pStyle w:val="TextBody"/>
        <w:bidi w:val="0"/>
        <w:spacing w:before="0" w:after="0"/>
        <w:ind w:left="1440" w:right="0" w:hanging="0"/>
        <w:jc w:val="both"/>
        <w:rPr>
          <w:rFonts w:ascii="Arial;Helvetica;sans-serif" w:hAnsi="Arial;Helvetica;sans-serif"/>
          <w:color w:val="181818"/>
          <w:sz w:val="22"/>
        </w:rPr>
      </w:pPr>
      <w:r>
        <w:rPr>
          <w:rFonts w:ascii="Arial;Helvetica;sans-serif" w:hAnsi="Arial;Helvetica;sans-serif"/>
          <w:color w:val="181818"/>
          <w:sz w:val="22"/>
        </w:rPr>
        <w:t>c/o KRONOS INTERNATIONAL, Inc.</w:t>
      </w:r>
    </w:p>
    <w:p>
      <w:pPr>
        <w:pStyle w:val="TextBody"/>
        <w:bidi w:val="0"/>
        <w:spacing w:before="0" w:after="0"/>
        <w:ind w:left="1440" w:right="0" w:hanging="0"/>
        <w:jc w:val="both"/>
        <w:rPr>
          <w:rFonts w:ascii="Arial;Helvetica;sans-serif" w:hAnsi="Arial;Helvetica;sans-serif"/>
          <w:color w:val="181818"/>
          <w:sz w:val="22"/>
        </w:rPr>
      </w:pPr>
      <w:r>
        <w:rPr>
          <w:rFonts w:ascii="Arial;Helvetica;sans-serif" w:hAnsi="Arial;Helvetica;sans-serif"/>
          <w:color w:val="181818"/>
          <w:sz w:val="22"/>
        </w:rPr>
        <w:t>Peschstrasse 5</w:t>
      </w:r>
    </w:p>
    <w:p>
      <w:pPr>
        <w:pStyle w:val="TextBody"/>
        <w:bidi w:val="0"/>
        <w:spacing w:before="0" w:after="0"/>
        <w:ind w:left="1440" w:right="0" w:hanging="0"/>
        <w:jc w:val="both"/>
        <w:rPr>
          <w:rFonts w:ascii="Arial;Helvetica;sans-serif" w:hAnsi="Arial;Helvetica;sans-serif"/>
          <w:color w:val="181818"/>
          <w:sz w:val="22"/>
        </w:rPr>
      </w:pPr>
      <w:r>
        <w:rPr>
          <w:rFonts w:ascii="Arial;Helvetica;sans-serif" w:hAnsi="Arial;Helvetica;sans-serif"/>
          <w:color w:val="181818"/>
          <w:sz w:val="22"/>
        </w:rPr>
        <w:t>D-51373 Leverkusen</w:t>
      </w:r>
    </w:p>
    <w:p>
      <w:pPr>
        <w:pStyle w:val="TextBody"/>
        <w:bidi w:val="0"/>
        <w:spacing w:before="0" w:after="0"/>
        <w:ind w:left="1440" w:right="0" w:hanging="0"/>
        <w:jc w:val="both"/>
        <w:rPr>
          <w:rFonts w:ascii="Arial;Helvetica;sans-serif" w:hAnsi="Arial;Helvetica;sans-serif"/>
          <w:color w:val="181818"/>
          <w:sz w:val="22"/>
        </w:rPr>
      </w:pPr>
      <w:r>
        <w:rPr>
          <w:rFonts w:ascii="Arial;Helvetica;sans-serif" w:hAnsi="Arial;Helvetica;sans-serif"/>
          <w:color w:val="181818"/>
          <w:sz w:val="22"/>
        </w:rPr>
        <w:t>Germany</w:t>
      </w:r>
    </w:p>
    <w:p>
      <w:pPr>
        <w:pStyle w:val="TextBody"/>
        <w:bidi w:val="0"/>
        <w:spacing w:before="0" w:after="0"/>
        <w:ind w:left="1440" w:right="0" w:hanging="0"/>
        <w:jc w:val="both"/>
        <w:rPr>
          <w:rFonts w:ascii="Arial;Helvetica;sans-serif" w:hAnsi="Arial;Helvetica;sans-serif"/>
          <w:color w:val="181818"/>
          <w:sz w:val="22"/>
        </w:rPr>
      </w:pPr>
      <w:r>
        <w:rPr>
          <w:rFonts w:ascii="Arial;Helvetica;sans-serif" w:hAnsi="Arial;Helvetica;sans-serif"/>
          <w:color w:val="181818"/>
          <w:sz w:val="22"/>
        </w:rPr>
        <w:t>Telefax:  (49) 214 401 526</w:t>
      </w:r>
    </w:p>
    <w:p>
      <w:pPr>
        <w:pStyle w:val="TextBody"/>
        <w:bidi w:val="0"/>
        <w:spacing w:before="0" w:after="0"/>
        <w:ind w:left="1440" w:right="0" w:hanging="0"/>
        <w:jc w:val="both"/>
        <w:rPr>
          <w:rFonts w:ascii="Arial;Helvetica;sans-serif" w:hAnsi="Arial;Helvetica;sans-serif"/>
          <w:color w:val="181818"/>
          <w:sz w:val="22"/>
        </w:rPr>
      </w:pPr>
      <w:r>
        <w:rPr>
          <w:rFonts w:ascii="Arial;Helvetica;sans-serif" w:hAnsi="Arial;Helvetica;sans-serif"/>
          <w:color w:val="181818"/>
          <w:sz w:val="22"/>
        </w:rPr>
        <w:t>Attention:  Vice President Purchasing</w:t>
      </w:r>
    </w:p>
    <w:p>
      <w:pPr>
        <w:pStyle w:val="TextBody"/>
        <w:bidi w:val="0"/>
        <w:spacing w:before="0" w:after="0"/>
        <w:ind w:left="0" w:right="0" w:hanging="0"/>
        <w:jc w:val="both"/>
        <w:rPr>
          <w:color w:val="181818"/>
        </w:rPr>
      </w:pPr>
      <w:r>
        <w:rPr>
          <w:color w:val="181818"/>
        </w:rPr>
        <w:t>​</w:t>
      </w:r>
    </w:p>
    <w:p>
      <w:pPr>
        <w:pStyle w:val="TextBody"/>
        <w:bidi w:val="0"/>
        <w:spacing w:before="0" w:after="0"/>
        <w:ind w:left="0" w:right="0" w:hanging="0"/>
        <w:jc w:val="both"/>
        <w:rPr>
          <w:rFonts w:ascii="Arial;Helvetica;sans-serif" w:hAnsi="Arial;Helvetica;sans-serif"/>
          <w:sz w:val="22"/>
        </w:rPr>
      </w:pPr>
      <w:r>
        <w:rPr>
          <w:rFonts w:ascii="Arial;Helvetica;sans-serif" w:hAnsi="Arial;Helvetica;sans-serif"/>
          <w:sz w:val="22"/>
        </w:rPr>
        <w:t>or to such other address as the addressee shall have previously furnished in writing to the addressor. All notices shall be deemed to have been received on the day of delivery, if delivered by courier service or on the day of transmission, if sent by telefax, during normal business hours (9.00am to 5.00pm) of the recipient, failing which, such notice shall be deemed to have been received on the next business day.</w:t>
      </w:r>
    </w:p>
    <w:p>
      <w:pPr>
        <w:pStyle w:val="TextBody"/>
        <w:bidi w:val="0"/>
        <w:spacing w:before="0" w:after="0"/>
        <w:ind w:left="0" w:right="0" w:hanging="0"/>
        <w:jc w:val="center"/>
        <w:rPr>
          <w:rFonts w:ascii="Arial;Helvetica;sans-serif" w:hAnsi="Arial;Helvetica;sans-serif"/>
          <w:caps/>
          <w:sz w:val="20"/>
        </w:rPr>
      </w:pPr>
      <w:r>
        <w:rPr>
          <w:rFonts w:ascii="Arial;Helvetica;sans-serif" w:hAnsi="Arial;Helvetica;sans-serif"/>
          <w:caps/>
          <w:sz w:val="20"/>
        </w:rPr>
        <w:t>12</w:t>
      </w:r>
    </w:p>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both"/>
        <w:rPr/>
      </w:pPr>
      <w:r>
        <w:rPr/>
        <w:t>​</w:t>
      </w:r>
    </w:p>
    <w:p>
      <w:pPr>
        <w:pStyle w:val="TextBody"/>
        <w:bidi w:val="0"/>
        <w:spacing w:before="0" w:after="0"/>
        <w:ind w:left="0" w:right="0" w:hanging="0"/>
        <w:jc w:val="left"/>
        <w:rPr>
          <w:rFonts w:ascii="Arial;Helvetica;sans-serif" w:hAnsi="Arial;Helvetica;sans-serif"/>
          <w:b/>
          <w:spacing w:val="-2"/>
          <w:sz w:val="22"/>
        </w:rPr>
      </w:pPr>
      <w:r>
        <w:rPr>
          <w:rFonts w:ascii="Arial;Helvetica;sans-serif" w:hAnsi="Arial;Helvetica;sans-serif"/>
          <w:b/>
          <w:spacing w:val="-2"/>
          <w:sz w:val="22"/>
        </w:rPr>
        <w:t>ARTICLE XX. ASSIGNMENT</w:t>
      </w:r>
    </w:p>
    <w:p>
      <w:pPr>
        <w:pStyle w:val="TextBody"/>
        <w:bidi w:val="0"/>
        <w:spacing w:before="0" w:after="0"/>
        <w:ind w:left="0" w:right="0" w:hanging="0"/>
        <w:jc w:val="left"/>
        <w:rPr>
          <w:spacing w:val="-2"/>
        </w:rPr>
      </w:pPr>
      <w:r>
        <w:rPr>
          <w:spacing w:val="-2"/>
        </w:rPr>
        <w:t>​</w:t>
      </w:r>
    </w:p>
    <w:p>
      <w:pPr>
        <w:pStyle w:val="TextBody"/>
        <w:bidi w:val="0"/>
        <w:spacing w:before="0" w:after="0"/>
        <w:ind w:left="0" w:right="72" w:hanging="0"/>
        <w:jc w:val="both"/>
        <w:rPr>
          <w:rFonts w:ascii="Arial;Helvetica;sans-serif" w:hAnsi="Arial;Helvetica;sans-serif"/>
          <w:sz w:val="22"/>
        </w:rPr>
      </w:pPr>
      <w:r>
        <w:rPr>
          <w:rFonts w:ascii="Arial;Helvetica;sans-serif" w:hAnsi="Arial;Helvetica;sans-serif"/>
          <w:sz w:val="22"/>
        </w:rPr>
        <w:t>Neither party may assign its rights or obligations under this Agreement without the prior written consent of the other party, which consent shall not be reasonably withheld or delayed. The preceding sentence shall not apply to assignments made to parents, subsidiaries, or related corporations, partnerships or other entities of the parties hereto, providing that the party executing this Agreement shall remain primarily responsible for performance of its obligations hereunder unless such is waived in writing by the other party. Buyer may also assign its rights or obligations under this Agreement without prior written consent of RBT to an unrelated financially capable purchaser of all or essentially of Buyer's TiO2 pigment business, provided that the assignee agrees to assume all of Buyer's duties and obligations hereunder and Buyer agrees to and shall remain secondarily responsible for performance of its obligations hereunder unless such is waived in writing by RBT.</w:t>
      </w:r>
    </w:p>
    <w:p>
      <w:pPr>
        <w:pStyle w:val="TextBody"/>
        <w:bidi w:val="0"/>
        <w:spacing w:before="0" w:after="0"/>
        <w:ind w:left="0" w:right="72" w:hanging="0"/>
        <w:jc w:val="both"/>
        <w:rPr/>
      </w:pPr>
      <w:r>
        <w:rPr/>
        <w:t>​</w:t>
      </w:r>
    </w:p>
    <w:p>
      <w:pPr>
        <w:pStyle w:val="TextBody"/>
        <w:bidi w:val="0"/>
        <w:spacing w:lineRule="auto" w:line="295" w:before="0" w:after="3"/>
        <w:ind w:left="0" w:right="51" w:hanging="0"/>
        <w:jc w:val="both"/>
        <w:rPr>
          <w:rFonts w:ascii="Times New Roman;Times;serif" w:hAnsi="Times New Roman;Times;serif"/>
          <w:sz w:val="20"/>
        </w:rPr>
      </w:pPr>
      <w:r>
        <w:rPr>
          <w:rFonts w:ascii="Arial;Helvetica;sans-serif" w:hAnsi="Arial;Helvetica;sans-serif"/>
          <w:sz w:val="22"/>
        </w:rPr>
        <w:t>Seller’s Obligation to Assign. Notwithstanding the foregoing, in the event Seller sells, transfers, or disposes of all or substantially all of the assets or operations related to the production or supply of the Product (a “Business Transfer”), Seller shall cause the transferee or acquirer of such assets or operations to assume all of Seller’s rights and obligations under this Agreement in a writing reasonably satisfactory to Buyer. Failure by Seller to secure such assumption shall constitute a material breach of this Agreement.</w:t>
      </w:r>
      <w:r>
        <w:rPr>
          <w:rFonts w:ascii="Times New Roman;Times;serif" w:hAnsi="Times New Roman;Times;serif"/>
          <w:color w:val="161616"/>
          <w:sz w:val="20"/>
        </w:rPr>
        <w:t xml:space="preserve"> </w:t>
      </w:r>
    </w:p>
    <w:p>
      <w:pPr>
        <w:pStyle w:val="TextBody"/>
        <w:bidi w:val="0"/>
        <w:spacing w:before="0" w:after="0"/>
        <w:ind w:left="720" w:right="0" w:hanging="0"/>
        <w:jc w:val="both"/>
        <w:rPr/>
      </w:pPr>
      <w:r>
        <w:rPr/>
        <w:t>​</w:t>
      </w:r>
    </w:p>
    <w:p>
      <w:pPr>
        <w:pStyle w:val="TextBody"/>
        <w:bidi w:val="0"/>
        <w:spacing w:lineRule="auto" w:line="295" w:before="0" w:after="3"/>
        <w:ind w:left="0" w:right="51" w:hanging="0"/>
        <w:jc w:val="both"/>
        <w:rPr>
          <w:rFonts w:ascii="Arial;Helvetica;sans-serif" w:hAnsi="Arial;Helvetica;sans-serif"/>
          <w:sz w:val="22"/>
        </w:rPr>
      </w:pPr>
      <w:r>
        <w:rPr>
          <w:rFonts w:ascii="Arial;Helvetica;sans-serif" w:hAnsi="Arial;Helvetica;sans-serif"/>
          <w:sz w:val="22"/>
        </w:rPr>
        <w:t>Buyer’s Termination Right upon Seller Change of Control. In the event of (i) any assignment by Seller, (ii) a Business Transfer, or (iii) a Change of Control of Seller (defined as the acquisition of more than 50% of the voting equity or control of the board of directors of Seller by a third party), Buyer shall have the right, but not the obligation, to terminate this Agreement upon 180-days’ prior written notice to Seller or its successor, where such written notice shall be provided not later than 180 days following receipt of written notice of such transaction from Seller. Seller shall provide Buyer with at least 60 days’ prior written notice of any such proposed transaction to allow Buyer to evaluate its options.  </w:t>
      </w:r>
    </w:p>
    <w:p>
      <w:pPr>
        <w:pStyle w:val="TextBody"/>
        <w:bidi w:val="0"/>
        <w:spacing w:before="0" w:after="0"/>
        <w:ind w:left="720" w:right="0" w:hanging="0"/>
        <w:jc w:val="both"/>
        <w:rPr/>
      </w:pPr>
      <w:r>
        <w:rPr/>
        <w:t>​</w:t>
      </w:r>
    </w:p>
    <w:p>
      <w:pPr>
        <w:pStyle w:val="TextBody"/>
        <w:bidi w:val="0"/>
        <w:spacing w:lineRule="auto" w:line="295" w:before="0" w:after="3"/>
        <w:ind w:left="0" w:right="51" w:hanging="0"/>
        <w:jc w:val="both"/>
        <w:rPr>
          <w:rFonts w:ascii="Arial;Helvetica;sans-serif" w:hAnsi="Arial;Helvetica;sans-serif"/>
          <w:sz w:val="22"/>
        </w:rPr>
      </w:pPr>
      <w:r>
        <w:rPr>
          <w:rFonts w:ascii="Arial;Helvetica;sans-serif" w:hAnsi="Arial;Helvetica;sans-serif"/>
          <w:sz w:val="22"/>
        </w:rPr>
        <w:t xml:space="preserve">Notwithstanding anything to the contrary herein, Seller may assign its right to receive payment of monies due or to become due under this Agreement solely in connection with a factoring, securitization, or receivables financing transaction, provided that: </w:t>
      </w:r>
    </w:p>
    <w:p>
      <w:pPr>
        <w:pStyle w:val="TextBody"/>
        <w:bidi w:val="0"/>
        <w:spacing w:before="0" w:after="0"/>
        <w:ind w:left="720" w:right="0" w:hanging="0"/>
        <w:jc w:val="both"/>
        <w:rPr/>
      </w:pPr>
      <w:r>
        <w:rPr/>
        <w:t>​</w:t>
      </w:r>
    </w:p>
    <w:tbl>
      <w:tblPr>
        <w:tblW w:w="10205" w:type="dxa"/>
        <w:jc w:val="left"/>
        <w:tblInd w:w="0" w:type="dxa"/>
        <w:tblLayout w:type="fixed"/>
        <w:tblCellMar>
          <w:top w:w="0" w:type="dxa"/>
          <w:left w:w="0" w:type="dxa"/>
          <w:bottom w:w="0" w:type="dxa"/>
          <w:right w:w="0" w:type="dxa"/>
        </w:tblCellMar>
      </w:tblPr>
      <w:tblGrid>
        <w:gridCol w:w="23"/>
        <w:gridCol w:w="158"/>
        <w:gridCol w:w="10000"/>
        <w:gridCol w:w="24"/>
      </w:tblGrid>
      <w:tr>
        <w:trPr/>
        <w:tc>
          <w:tcPr>
            <w:tcW w:w="23"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rFonts w:ascii="Times New Roman;Times;serif" w:hAnsi="Times New Roman;Times;serif"/>
                <w:sz w:val="22"/>
              </w:rPr>
            </w:pPr>
            <w:r>
              <w:rPr>
                <w:rFonts w:ascii="Times New Roman;Times;serif" w:hAnsi="Times New Roman;Times;serif"/>
                <w:sz w:val="22"/>
              </w:rPr>
              <w:t>1.</w:t>
            </w:r>
          </w:p>
        </w:tc>
        <w:tc>
          <w:tcPr>
            <w:tcW w:w="10000" w:type="dxa"/>
            <w:tcBorders/>
            <w:vAlign w:val="center"/>
          </w:tcPr>
          <w:p>
            <w:pPr>
              <w:pStyle w:val="TableContents"/>
              <w:bidi w:val="0"/>
              <w:spacing w:before="0" w:after="283"/>
              <w:jc w:val="left"/>
              <w:rPr>
                <w:rFonts w:ascii="Arial;Helvetica;sans-serif" w:hAnsi="Arial;Helvetica;sans-serif"/>
                <w:b w:val="false"/>
                <w:i w:val="false"/>
                <w:caps w:val="false"/>
                <w:smallCaps w:val="false"/>
                <w:sz w:val="22"/>
              </w:rPr>
            </w:pPr>
            <w:r>
              <w:rPr>
                <w:rFonts w:ascii="Arial;Helvetica;sans-serif" w:hAnsi="Arial;Helvetica;sans-serif"/>
                <w:b w:val="false"/>
                <w:i w:val="false"/>
                <w:caps w:val="false"/>
                <w:smallCaps w:val="false"/>
                <w:sz w:val="22"/>
              </w:rPr>
              <w:t xml:space="preserve">No Delegation of Obligations: Such assignment shall apply only to the right to payment and shall not assign, delegate, novate, or transfer any of Seller’s performance obligations or other rights under this Agreement. Seller shall remain fully liable for the performance of all obligations under this Agreement. </w:t>
            </w:r>
          </w:p>
        </w:tc>
        <w:tc>
          <w:tcPr>
            <w:tcW w:w="2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720" w:right="0" w:hanging="0"/>
        <w:jc w:val="both"/>
        <w:rPr/>
      </w:pPr>
      <w:r>
        <w:rPr/>
        <w:t>​</w:t>
      </w:r>
    </w:p>
    <w:tbl>
      <w:tblPr>
        <w:tblW w:w="10205" w:type="dxa"/>
        <w:jc w:val="left"/>
        <w:tblInd w:w="0" w:type="dxa"/>
        <w:tblLayout w:type="fixed"/>
        <w:tblCellMar>
          <w:top w:w="0" w:type="dxa"/>
          <w:left w:w="0" w:type="dxa"/>
          <w:bottom w:w="0" w:type="dxa"/>
          <w:right w:w="0" w:type="dxa"/>
        </w:tblCellMar>
      </w:tblPr>
      <w:tblGrid>
        <w:gridCol w:w="23"/>
        <w:gridCol w:w="162"/>
        <w:gridCol w:w="9996"/>
        <w:gridCol w:w="24"/>
      </w:tblGrid>
      <w:tr>
        <w:trPr/>
        <w:tc>
          <w:tcPr>
            <w:tcW w:w="23"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rFonts w:ascii="Times New Roman;Times;serif" w:hAnsi="Times New Roman;Times;serif"/>
                <w:sz w:val="22"/>
              </w:rPr>
            </w:pPr>
            <w:r>
              <w:rPr>
                <w:rFonts w:ascii="Times New Roman;Times;serif" w:hAnsi="Times New Roman;Times;serif"/>
                <w:sz w:val="22"/>
              </w:rPr>
              <w:t>2.</w:t>
            </w:r>
          </w:p>
        </w:tc>
        <w:tc>
          <w:tcPr>
            <w:tcW w:w="9996" w:type="dxa"/>
            <w:tcBorders/>
            <w:vAlign w:val="center"/>
          </w:tcPr>
          <w:p>
            <w:pPr>
              <w:pStyle w:val="TableContents"/>
              <w:bidi w:val="0"/>
              <w:spacing w:before="0" w:after="283"/>
              <w:jc w:val="left"/>
              <w:rPr>
                <w:rFonts w:ascii="Arial;Helvetica;sans-serif" w:hAnsi="Arial;Helvetica;sans-serif"/>
                <w:b w:val="false"/>
                <w:i w:val="false"/>
                <w:caps w:val="false"/>
                <w:smallCaps w:val="false"/>
                <w:sz w:val="22"/>
              </w:rPr>
            </w:pPr>
            <w:r>
              <w:rPr>
                <w:rFonts w:ascii="Arial;Helvetica;sans-serif" w:hAnsi="Arial;Helvetica;sans-serif"/>
                <w:b w:val="false"/>
                <w:i w:val="false"/>
                <w:caps w:val="false"/>
                <w:smallCaps w:val="false"/>
                <w:sz w:val="22"/>
              </w:rPr>
              <w:t xml:space="preserve">Preservation of Buyer’s Rights: Any such assignment shall be subject to all of Buyer’s rights under this Agreement, including but not limited to rights of set-off, deduction, recoupment, and defenses against payment for non-conforming goods or services. </w:t>
            </w:r>
          </w:p>
        </w:tc>
        <w:tc>
          <w:tcPr>
            <w:tcW w:w="2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360" w:right="0" w:hanging="0"/>
        <w:jc w:val="both"/>
        <w:rPr/>
      </w:pPr>
      <w:r>
        <w:rPr/>
        <w:t>​</w:t>
      </w:r>
    </w:p>
    <w:tbl>
      <w:tblPr>
        <w:tblW w:w="10205" w:type="dxa"/>
        <w:jc w:val="left"/>
        <w:tblInd w:w="0" w:type="dxa"/>
        <w:tblLayout w:type="fixed"/>
        <w:tblCellMar>
          <w:top w:w="0" w:type="dxa"/>
          <w:left w:w="0" w:type="dxa"/>
          <w:bottom w:w="0" w:type="dxa"/>
          <w:right w:w="0" w:type="dxa"/>
        </w:tblCellMar>
      </w:tblPr>
      <w:tblGrid>
        <w:gridCol w:w="23"/>
        <w:gridCol w:w="189"/>
        <w:gridCol w:w="9969"/>
        <w:gridCol w:w="24"/>
      </w:tblGrid>
      <w:tr>
        <w:trPr/>
        <w:tc>
          <w:tcPr>
            <w:tcW w:w="23"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rFonts w:ascii="Times New Roman;Times;serif" w:hAnsi="Times New Roman;Times;serif"/>
                <w:sz w:val="22"/>
              </w:rPr>
            </w:pPr>
            <w:r>
              <w:rPr>
                <w:rFonts w:ascii="Times New Roman;Times;serif" w:hAnsi="Times New Roman;Times;serif"/>
                <w:sz w:val="22"/>
              </w:rPr>
              <w:t>3.</w:t>
            </w:r>
          </w:p>
        </w:tc>
        <w:tc>
          <w:tcPr>
            <w:tcW w:w="9969" w:type="dxa"/>
            <w:tcBorders/>
            <w:vAlign w:val="center"/>
          </w:tcPr>
          <w:p>
            <w:pPr>
              <w:pStyle w:val="TableContents"/>
              <w:bidi w:val="0"/>
              <w:spacing w:before="0" w:after="283"/>
              <w:jc w:val="left"/>
              <w:rPr>
                <w:rFonts w:ascii="Arial;Helvetica;sans-serif" w:hAnsi="Arial;Helvetica;sans-serif"/>
                <w:b w:val="false"/>
                <w:i w:val="false"/>
                <w:caps w:val="false"/>
                <w:smallCaps w:val="false"/>
                <w:sz w:val="22"/>
              </w:rPr>
            </w:pPr>
            <w:r>
              <w:rPr>
                <w:rFonts w:ascii="Arial;Helvetica;sans-serif" w:hAnsi="Arial;Helvetica;sans-serif"/>
                <w:b w:val="false"/>
                <w:i w:val="false"/>
                <w:caps w:val="false"/>
                <w:smallCaps w:val="false"/>
                <w:sz w:val="22"/>
              </w:rPr>
              <w:t xml:space="preserve">No Increased Burden: The assignment shall not result in any additional cost, expense, or administrative burden to Buyer. </w:t>
            </w:r>
          </w:p>
        </w:tc>
        <w:tc>
          <w:tcPr>
            <w:tcW w:w="2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360" w:right="0" w:hanging="0"/>
        <w:jc w:val="both"/>
        <w:rPr/>
      </w:pPr>
      <w:r>
        <w:rPr/>
        <w:t>​</w:t>
      </w:r>
    </w:p>
    <w:tbl>
      <w:tblPr>
        <w:tblW w:w="10205" w:type="dxa"/>
        <w:jc w:val="left"/>
        <w:tblInd w:w="0" w:type="dxa"/>
        <w:tblLayout w:type="fixed"/>
        <w:tblCellMar>
          <w:top w:w="0" w:type="dxa"/>
          <w:left w:w="0" w:type="dxa"/>
          <w:bottom w:w="0" w:type="dxa"/>
          <w:right w:w="0" w:type="dxa"/>
        </w:tblCellMar>
      </w:tblPr>
      <w:tblGrid>
        <w:gridCol w:w="23"/>
        <w:gridCol w:w="169"/>
        <w:gridCol w:w="9989"/>
        <w:gridCol w:w="24"/>
      </w:tblGrid>
      <w:tr>
        <w:trPr/>
        <w:tc>
          <w:tcPr>
            <w:tcW w:w="23"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rFonts w:ascii="Times New Roman;Times;serif" w:hAnsi="Times New Roman;Times;serif"/>
                <w:sz w:val="22"/>
              </w:rPr>
            </w:pPr>
            <w:r>
              <w:rPr>
                <w:rFonts w:ascii="Times New Roman;Times;serif" w:hAnsi="Times New Roman;Times;serif"/>
                <w:sz w:val="22"/>
              </w:rPr>
              <w:t>4.</w:t>
            </w:r>
          </w:p>
        </w:tc>
        <w:tc>
          <w:tcPr>
            <w:tcW w:w="9989" w:type="dxa"/>
            <w:tcBorders/>
            <w:vAlign w:val="center"/>
          </w:tcPr>
          <w:p>
            <w:pPr>
              <w:pStyle w:val="TableContents"/>
              <w:bidi w:val="0"/>
              <w:spacing w:before="0" w:after="283"/>
              <w:jc w:val="left"/>
              <w:rPr>
                <w:rFonts w:ascii="Arial;Helvetica;sans-serif" w:hAnsi="Arial;Helvetica;sans-serif"/>
                <w:b w:val="false"/>
                <w:i w:val="false"/>
                <w:caps w:val="false"/>
                <w:smallCaps w:val="false"/>
                <w:sz w:val="22"/>
              </w:rPr>
            </w:pPr>
            <w:r>
              <w:rPr>
                <w:rFonts w:ascii="Arial;Helvetica;sans-serif" w:hAnsi="Arial;Helvetica;sans-serif"/>
                <w:b w:val="false"/>
                <w:i w:val="false"/>
                <w:caps w:val="false"/>
                <w:smallCaps w:val="false"/>
                <w:sz w:val="22"/>
              </w:rPr>
              <w:t xml:space="preserve">Discharge of Liability: Buyer’s payment to the assignee (upon receipt of proper written notice directing such payment) shall fully discharge Buyer’s payment obligation to Seller for the applicable amount. </w:t>
            </w:r>
          </w:p>
        </w:tc>
        <w:tc>
          <w:tcPr>
            <w:tcW w:w="2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360" w:right="0" w:hanging="0"/>
        <w:jc w:val="both"/>
        <w:rPr/>
      </w:pPr>
      <w:r>
        <w:rPr/>
        <w:t>​</w:t>
      </w:r>
    </w:p>
    <w:tbl>
      <w:tblPr>
        <w:tblW w:w="10205" w:type="dxa"/>
        <w:jc w:val="left"/>
        <w:tblInd w:w="0" w:type="dxa"/>
        <w:tblLayout w:type="fixed"/>
        <w:tblCellMar>
          <w:top w:w="0" w:type="dxa"/>
          <w:left w:w="0" w:type="dxa"/>
          <w:bottom w:w="0" w:type="dxa"/>
          <w:right w:w="0" w:type="dxa"/>
        </w:tblCellMar>
      </w:tblPr>
      <w:tblGrid>
        <w:gridCol w:w="23"/>
        <w:gridCol w:w="172"/>
        <w:gridCol w:w="9986"/>
        <w:gridCol w:w="24"/>
      </w:tblGrid>
      <w:tr>
        <w:trPr/>
        <w:tc>
          <w:tcPr>
            <w:tcW w:w="23"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rFonts w:ascii="Times New Roman;Times;serif" w:hAnsi="Times New Roman;Times;serif"/>
                <w:sz w:val="22"/>
              </w:rPr>
            </w:pPr>
            <w:r>
              <w:rPr>
                <w:rFonts w:ascii="Times New Roman;Times;serif" w:hAnsi="Times New Roman;Times;serif"/>
                <w:sz w:val="22"/>
              </w:rPr>
              <w:t>5.</w:t>
            </w:r>
          </w:p>
        </w:tc>
        <w:tc>
          <w:tcPr>
            <w:tcW w:w="9986" w:type="dxa"/>
            <w:tcBorders/>
            <w:vAlign w:val="center"/>
          </w:tcPr>
          <w:p>
            <w:pPr>
              <w:pStyle w:val="TableContents"/>
              <w:bidi w:val="0"/>
              <w:spacing w:before="0" w:after="283"/>
              <w:jc w:val="left"/>
              <w:rPr>
                <w:rFonts w:ascii="Arial;Helvetica;sans-serif" w:hAnsi="Arial;Helvetica;sans-serif"/>
                <w:b w:val="false"/>
                <w:i w:val="false"/>
                <w:caps w:val="false"/>
                <w:smallCaps w:val="false"/>
                <w:sz w:val="22"/>
              </w:rPr>
            </w:pPr>
            <w:r>
              <w:rPr>
                <w:rFonts w:ascii="Arial;Helvetica;sans-serif" w:hAnsi="Arial;Helvetica;sans-serif"/>
                <w:b w:val="false"/>
                <w:i w:val="false"/>
                <w:caps w:val="false"/>
                <w:smallCaps w:val="false"/>
                <w:sz w:val="22"/>
              </w:rPr>
              <w:t>Notice Requirements: Seller must provide Buyer with at least thirty (30) days’ prior written notice of any such assignment, which notice must clearly specify payment instructions.</w:t>
            </w:r>
          </w:p>
        </w:tc>
        <w:tc>
          <w:tcPr>
            <w:tcW w:w="2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hanging="0"/>
        <w:jc w:val="center"/>
        <w:rPr>
          <w:rFonts w:ascii="Arial;Helvetica;sans-serif" w:hAnsi="Arial;Helvetica;sans-serif"/>
          <w:caps/>
          <w:sz w:val="20"/>
        </w:rPr>
      </w:pPr>
      <w:r>
        <w:rPr>
          <w:rFonts w:ascii="Arial;Helvetica;sans-serif" w:hAnsi="Arial;Helvetica;sans-serif"/>
          <w:caps/>
          <w:sz w:val="20"/>
        </w:rPr>
        <w:t>13</w:t>
      </w:r>
    </w:p>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0"/>
        <w:ind w:left="0" w:right="72" w:hanging="0"/>
        <w:jc w:val="both"/>
        <w:rPr/>
      </w:pPr>
      <w:r>
        <w:rPr/>
        <w:t>​</w:t>
      </w:r>
    </w:p>
    <w:p>
      <w:pPr>
        <w:pStyle w:val="TextBody"/>
        <w:bidi w:val="0"/>
        <w:spacing w:before="0" w:after="0"/>
        <w:ind w:left="0" w:right="0" w:hanging="0"/>
        <w:jc w:val="left"/>
        <w:rPr>
          <w:rFonts w:ascii="Arial;Helvetica;sans-serif" w:hAnsi="Arial;Helvetica;sans-serif"/>
          <w:b/>
          <w:spacing w:val="-2"/>
          <w:sz w:val="22"/>
        </w:rPr>
      </w:pPr>
      <w:r>
        <w:rPr>
          <w:rFonts w:ascii="Arial;Helvetica;sans-serif" w:hAnsi="Arial;Helvetica;sans-serif"/>
          <w:b/>
          <w:spacing w:val="-2"/>
          <w:sz w:val="22"/>
        </w:rPr>
        <w:t>ARTICLE XXI. ENTIRE AGREEMENT, AMENDMENT, MODIFICATION</w:t>
      </w:r>
    </w:p>
    <w:p>
      <w:pPr>
        <w:pStyle w:val="TextBody"/>
        <w:bidi w:val="0"/>
        <w:spacing w:before="0" w:after="0"/>
        <w:ind w:left="0" w:right="0" w:hanging="0"/>
        <w:jc w:val="left"/>
        <w:rPr>
          <w:spacing w:val="-2"/>
        </w:rPr>
      </w:pPr>
      <w:r>
        <w:rPr>
          <w:spacing w:val="-2"/>
        </w:rPr>
        <w:t>​</w:t>
      </w:r>
    </w:p>
    <w:p>
      <w:pPr>
        <w:pStyle w:val="TextBody"/>
        <w:bidi w:val="0"/>
        <w:spacing w:before="0" w:after="0"/>
        <w:ind w:left="0" w:right="0" w:hanging="0"/>
        <w:jc w:val="both"/>
        <w:rPr>
          <w:rFonts w:ascii="Arial;Helvetica;sans-serif" w:hAnsi="Arial;Helvetica;sans-serif"/>
          <w:spacing w:val="-3"/>
          <w:sz w:val="22"/>
        </w:rPr>
      </w:pPr>
      <w:r>
        <w:rPr>
          <w:rFonts w:ascii="Arial;Helvetica;sans-serif" w:hAnsi="Arial;Helvetica;sans-serif"/>
          <w:spacing w:val="-3"/>
          <w:sz w:val="22"/>
        </w:rPr>
        <w:t>This Agreement states the entire understanding between the parties hereto with respect to the subject matter hereof, and there are no agreements or understandings, oral or written, expressed or implied with reference to the subject matter hereof that are not merged herein or superseded hereby. This Agreement may not be changed, modified or supplemented in any manner orally or otherwise except by an instrument in writing signed by a duly authorized representative of each of the parties hereto. The parties recognize that, for administrative purposes, documents such as purchase orders, acknowledgements, invoices and similar documents may be used during the term of this Agreement. In no event shall any term or condition contained in any such administrative documents be interpreted as amending or modifying the terms of this Agreement whether such administrative documents are signed or not.</w:t>
      </w:r>
    </w:p>
    <w:p>
      <w:pPr>
        <w:pStyle w:val="TextBody"/>
        <w:bidi w:val="0"/>
        <w:spacing w:before="0" w:after="0"/>
        <w:ind w:left="0" w:right="0" w:hanging="0"/>
        <w:jc w:val="both"/>
        <w:rPr>
          <w:spacing w:val="-3"/>
        </w:rPr>
      </w:pPr>
      <w:r>
        <w:rPr>
          <w:spacing w:val="-3"/>
        </w:rPr>
        <w:t>​</w:t>
      </w:r>
    </w:p>
    <w:p>
      <w:pPr>
        <w:pStyle w:val="TextBody"/>
        <w:bidi w:val="0"/>
        <w:spacing w:before="0" w:after="0"/>
        <w:ind w:left="0" w:right="0" w:hanging="0"/>
        <w:jc w:val="left"/>
        <w:rPr>
          <w:rFonts w:ascii="Arial;Helvetica;sans-serif" w:hAnsi="Arial;Helvetica;sans-serif"/>
          <w:b/>
          <w:spacing w:val="-1"/>
          <w:sz w:val="22"/>
        </w:rPr>
      </w:pPr>
      <w:r>
        <w:rPr>
          <w:rFonts w:ascii="Arial;Helvetica;sans-serif" w:hAnsi="Arial;Helvetica;sans-serif"/>
          <w:b/>
          <w:spacing w:val="-1"/>
          <w:sz w:val="22"/>
        </w:rPr>
        <w:t>ARTICLE XXII. GOVERNING LAW</w:t>
      </w:r>
    </w:p>
    <w:p>
      <w:pPr>
        <w:pStyle w:val="TextBody"/>
        <w:bidi w:val="0"/>
        <w:spacing w:before="0" w:after="0"/>
        <w:ind w:left="0" w:right="0" w:hanging="0"/>
        <w:jc w:val="left"/>
        <w:rPr>
          <w:spacing w:val="-1"/>
        </w:rPr>
      </w:pPr>
      <w:r>
        <w:rPr>
          <w:spacing w:val="-1"/>
        </w:rPr>
        <w:t>​</w:t>
      </w:r>
    </w:p>
    <w:p>
      <w:pPr>
        <w:pStyle w:val="TextBody"/>
        <w:bidi w:val="0"/>
        <w:spacing w:before="0" w:after="0"/>
        <w:ind w:left="0" w:right="0" w:hanging="0"/>
        <w:jc w:val="both"/>
        <w:rPr>
          <w:rFonts w:ascii="Arial;Helvetica;sans-serif" w:hAnsi="Arial;Helvetica;sans-serif"/>
          <w:sz w:val="22"/>
        </w:rPr>
      </w:pPr>
      <w:r>
        <w:rPr>
          <w:rFonts w:ascii="Arial;Helvetica;sans-serif" w:hAnsi="Arial;Helvetica;sans-serif"/>
          <w:sz w:val="22"/>
        </w:rPr>
        <w:t>This agreement shall be governed by and construed under the laws of England and Wales, in all respects, including construction, validity and performance to the exclusion of the United Nations Convention on International Sale of Goods and excluding any choice of law rules that would apply the law of any other jurisdiction.</w:t>
      </w:r>
    </w:p>
    <w:p>
      <w:pPr>
        <w:pStyle w:val="TextBody"/>
        <w:bidi w:val="0"/>
        <w:spacing w:before="0" w:after="0"/>
        <w:ind w:left="0" w:right="0" w:hanging="0"/>
        <w:jc w:val="both"/>
        <w:rPr/>
      </w:pPr>
      <w:r>
        <w:rPr/>
        <w:t>​</w:t>
      </w:r>
    </w:p>
    <w:p>
      <w:pPr>
        <w:pStyle w:val="TextBody"/>
        <w:bidi w:val="0"/>
        <w:spacing w:before="0" w:after="0"/>
        <w:ind w:left="0" w:right="0" w:hanging="0"/>
        <w:jc w:val="both"/>
        <w:rPr>
          <w:rFonts w:ascii="Arial;Helvetica;sans-serif" w:hAnsi="Arial;Helvetica;sans-serif"/>
          <w:b/>
          <w:sz w:val="22"/>
        </w:rPr>
      </w:pPr>
      <w:r>
        <w:rPr>
          <w:rFonts w:ascii="Arial;Helvetica;sans-serif" w:hAnsi="Arial;Helvetica;sans-serif"/>
          <w:b/>
          <w:sz w:val="22"/>
        </w:rPr>
        <w:t xml:space="preserve">ARTICLE XXIII. COMPLIANCE </w:t>
      </w:r>
    </w:p>
    <w:p>
      <w:pPr>
        <w:pStyle w:val="TextBody"/>
        <w:bidi w:val="0"/>
        <w:spacing w:before="0" w:after="0"/>
        <w:ind w:left="720" w:right="0" w:hanging="0"/>
        <w:jc w:val="both"/>
        <w:rPr/>
      </w:pPr>
      <w:r>
        <w:rPr/>
        <w:t>​</w:t>
      </w:r>
    </w:p>
    <w:p>
      <w:pPr>
        <w:pStyle w:val="TextBody"/>
        <w:pBdr/>
        <w:bidi w:val="0"/>
        <w:spacing w:before="0" w:after="0"/>
        <w:ind w:left="720" w:right="0" w:hanging="273"/>
        <w:jc w:val="both"/>
        <w:rPr>
          <w:rFonts w:ascii="Times New Roman;Times;serif" w:hAnsi="Times New Roman;Times;serif"/>
          <w:sz w:val="20"/>
        </w:rPr>
      </w:pPr>
      <w:r>
        <w:rPr>
          <w:rFonts w:ascii="Arial;Helvetica;sans-serif" w:hAnsi="Arial;Helvetica;sans-serif"/>
          <w:sz w:val="22"/>
        </w:rPr>
        <w:t xml:space="preserve">A. </w:t>
      </w:r>
      <w:r>
        <w:rPr>
          <w:rFonts w:ascii="Arial;Helvetica;sans-serif" w:hAnsi="Arial;Helvetica;sans-serif"/>
          <w:sz w:val="22"/>
          <w:u w:val="single"/>
        </w:rPr>
        <w:t>Business Standards</w:t>
      </w:r>
      <w:r>
        <w:rPr>
          <w:rFonts w:ascii="Arial;Helvetica;sans-serif" w:hAnsi="Arial;Helvetica;sans-serif"/>
          <w:sz w:val="22"/>
        </w:rPr>
        <w:t>.  RBT must comply at all times with the Rio Tinto Business Standards. The Buyer must comply at all times with its own policies, standards and corporate governance guidelines, including the documents found in the Corporate Governance section of the Buyer’s website at https://www.kronosww.com/ethics/.  </w:t>
      </w:r>
    </w:p>
    <w:p>
      <w:pPr>
        <w:pStyle w:val="TextBody"/>
        <w:bidi w:val="0"/>
        <w:spacing w:before="0" w:after="0"/>
        <w:ind w:left="720" w:right="0" w:hanging="0"/>
        <w:jc w:val="both"/>
        <w:rPr/>
      </w:pPr>
      <w:r>
        <w:rPr/>
        <w:t>​</w:t>
      </w:r>
    </w:p>
    <w:p>
      <w:pPr>
        <w:pStyle w:val="TextBody"/>
        <w:bidi w:val="0"/>
        <w:spacing w:before="0" w:after="120"/>
        <w:ind w:left="709" w:right="0" w:hanging="0"/>
        <w:jc w:val="both"/>
        <w:rPr>
          <w:rFonts w:ascii="Times New Roman;Times;serif" w:hAnsi="Times New Roman;Times;serif"/>
          <w:sz w:val="20"/>
        </w:rPr>
      </w:pPr>
      <w:r>
        <w:rPr>
          <w:rFonts w:ascii="Arial;Helvetica;sans-serif" w:hAnsi="Arial;Helvetica;sans-serif"/>
          <w:sz w:val="22"/>
        </w:rPr>
        <w:t xml:space="preserve">A. </w:t>
      </w:r>
      <w:r>
        <w:rPr>
          <w:rFonts w:ascii="Arial;Helvetica;sans-serif" w:hAnsi="Arial;Helvetica;sans-serif"/>
          <w:sz w:val="22"/>
          <w:u w:val="single"/>
        </w:rPr>
        <w:t>Sanctions</w:t>
      </w:r>
      <w:r>
        <w:rPr>
          <w:rFonts w:ascii="Arial;Helvetica;sans-serif" w:hAnsi="Arial;Helvetica;sans-serif"/>
          <w:sz w:val="22"/>
        </w:rPr>
        <w:t>. Each Party represents and warrants that neither it nor any of its Related Entities nor any of their directors, employees, agents or representatives:</w:t>
      </w:r>
    </w:p>
    <w:tbl>
      <w:tblPr>
        <w:tblW w:w="3768" w:type="dxa"/>
        <w:jc w:val="left"/>
        <w:tblInd w:w="0" w:type="dxa"/>
        <w:tblLayout w:type="fixed"/>
        <w:tblCellMar>
          <w:top w:w="0" w:type="dxa"/>
          <w:left w:w="0" w:type="dxa"/>
          <w:bottom w:w="0" w:type="dxa"/>
          <w:right w:w="0" w:type="dxa"/>
        </w:tblCellMar>
      </w:tblPr>
      <w:tblGrid>
        <w:gridCol w:w="23"/>
        <w:gridCol w:w="215"/>
        <w:gridCol w:w="3530"/>
      </w:tblGrid>
      <w:tr>
        <w:trPr/>
        <w:tc>
          <w:tcPr>
            <w:tcW w:w="23"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rFonts w:ascii="Arial;Helvetica;sans-serif" w:hAnsi="Arial;Helvetica;sans-serif"/>
                <w:sz w:val="22"/>
              </w:rPr>
            </w:pPr>
            <w:r>
              <w:rPr>
                <w:rFonts w:ascii="Arial;Helvetica;sans-serif" w:hAnsi="Arial;Helvetica;sans-serif"/>
                <w:sz w:val="22"/>
              </w:rPr>
              <w:t>(i)</w:t>
            </w:r>
          </w:p>
        </w:tc>
        <w:tc>
          <w:tcPr>
            <w:tcW w:w="3530" w:type="dxa"/>
            <w:tcBorders/>
            <w:vAlign w:val="center"/>
          </w:tcPr>
          <w:p>
            <w:pPr>
              <w:pStyle w:val="TableContents"/>
              <w:bidi w:val="0"/>
              <w:spacing w:before="0" w:after="283"/>
              <w:jc w:val="left"/>
              <w:rPr>
                <w:rFonts w:ascii="Arial;Helvetica;sans-serif" w:hAnsi="Arial;Helvetica;sans-serif"/>
                <w:b w:val="false"/>
                <w:i w:val="false"/>
                <w:caps w:val="false"/>
                <w:smallCaps w:val="false"/>
                <w:sz w:val="22"/>
              </w:rPr>
            </w:pPr>
            <w:r>
              <w:rPr>
                <w:rFonts w:ascii="Arial;Helvetica;sans-serif" w:hAnsi="Arial;Helvetica;sans-serif"/>
                <w:b w:val="false"/>
                <w:i w:val="false"/>
                <w:caps w:val="false"/>
                <w:smallCaps w:val="false"/>
                <w:sz w:val="22"/>
              </w:rPr>
              <w:t>is or will become a Restricted Party;</w:t>
            </w:r>
          </w:p>
        </w:tc>
      </w:tr>
    </w:tbl>
    <w:tbl>
      <w:tblPr>
        <w:tblW w:w="7593" w:type="dxa"/>
        <w:jc w:val="left"/>
        <w:tblInd w:w="0" w:type="dxa"/>
        <w:tblLayout w:type="fixed"/>
        <w:tblCellMar>
          <w:top w:w="0" w:type="dxa"/>
          <w:left w:w="0" w:type="dxa"/>
          <w:bottom w:w="0" w:type="dxa"/>
          <w:right w:w="0" w:type="dxa"/>
        </w:tblCellMar>
      </w:tblPr>
      <w:tblGrid>
        <w:gridCol w:w="23"/>
        <w:gridCol w:w="260"/>
        <w:gridCol w:w="7310"/>
      </w:tblGrid>
      <w:tr>
        <w:trPr/>
        <w:tc>
          <w:tcPr>
            <w:tcW w:w="23"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rFonts w:ascii="Arial;Helvetica;sans-serif" w:hAnsi="Arial;Helvetica;sans-serif"/>
                <w:sz w:val="22"/>
              </w:rPr>
            </w:pPr>
            <w:r>
              <w:rPr>
                <w:rFonts w:ascii="Arial;Helvetica;sans-serif" w:hAnsi="Arial;Helvetica;sans-serif"/>
                <w:sz w:val="22"/>
              </w:rPr>
              <w:t>(ii)</w:t>
            </w:r>
          </w:p>
        </w:tc>
        <w:tc>
          <w:tcPr>
            <w:tcW w:w="7310" w:type="dxa"/>
            <w:tcBorders/>
            <w:vAlign w:val="center"/>
          </w:tcPr>
          <w:p>
            <w:pPr>
              <w:pStyle w:val="TableContents"/>
              <w:bidi w:val="0"/>
              <w:spacing w:before="0" w:after="283"/>
              <w:jc w:val="left"/>
              <w:rPr>
                <w:rFonts w:ascii="Arial;Helvetica;sans-serif" w:hAnsi="Arial;Helvetica;sans-serif"/>
                <w:b w:val="false"/>
                <w:i w:val="false"/>
                <w:caps w:val="false"/>
                <w:smallCaps w:val="false"/>
                <w:sz w:val="22"/>
              </w:rPr>
            </w:pPr>
            <w:r>
              <w:rPr>
                <w:rFonts w:ascii="Arial;Helvetica;sans-serif" w:hAnsi="Arial;Helvetica;sans-serif"/>
                <w:b w:val="false"/>
                <w:i w:val="false"/>
                <w:caps w:val="false"/>
                <w:smallCaps w:val="false"/>
                <w:sz w:val="22"/>
              </w:rPr>
              <w:t xml:space="preserve">will resell or deliver the Product, directly or indirectly, to a Restricted Party; </w:t>
            </w:r>
          </w:p>
        </w:tc>
      </w:tr>
    </w:tbl>
    <w:tbl>
      <w:tblPr>
        <w:tblW w:w="10205" w:type="dxa"/>
        <w:jc w:val="left"/>
        <w:tblInd w:w="0" w:type="dxa"/>
        <w:tblLayout w:type="fixed"/>
        <w:tblCellMar>
          <w:top w:w="0" w:type="dxa"/>
          <w:left w:w="0" w:type="dxa"/>
          <w:bottom w:w="0" w:type="dxa"/>
          <w:right w:w="0" w:type="dxa"/>
        </w:tblCellMar>
      </w:tblPr>
      <w:tblGrid>
        <w:gridCol w:w="23"/>
        <w:gridCol w:w="261"/>
        <w:gridCol w:w="9921"/>
      </w:tblGrid>
      <w:tr>
        <w:trPr/>
        <w:tc>
          <w:tcPr>
            <w:tcW w:w="23"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rFonts w:ascii="Arial;Helvetica;sans-serif" w:hAnsi="Arial;Helvetica;sans-serif"/>
                <w:sz w:val="22"/>
              </w:rPr>
            </w:pPr>
            <w:r>
              <w:rPr>
                <w:rFonts w:ascii="Arial;Helvetica;sans-serif" w:hAnsi="Arial;Helvetica;sans-serif"/>
                <w:sz w:val="22"/>
              </w:rPr>
              <w:t>(iii)</w:t>
            </w:r>
          </w:p>
        </w:tc>
        <w:tc>
          <w:tcPr>
            <w:tcW w:w="9921" w:type="dxa"/>
            <w:tcBorders/>
            <w:vAlign w:val="center"/>
          </w:tcPr>
          <w:p>
            <w:pPr>
              <w:pStyle w:val="TableContents"/>
              <w:bidi w:val="0"/>
              <w:spacing w:before="0" w:after="283"/>
              <w:jc w:val="left"/>
              <w:rPr>
                <w:rFonts w:ascii="Arial;Helvetica;sans-serif" w:hAnsi="Arial;Helvetica;sans-serif"/>
                <w:b w:val="false"/>
                <w:i w:val="false"/>
                <w:caps w:val="false"/>
                <w:smallCaps w:val="false"/>
                <w:sz w:val="22"/>
              </w:rPr>
            </w:pPr>
            <w:r>
              <w:rPr>
                <w:rFonts w:ascii="Arial;Helvetica;sans-serif" w:hAnsi="Arial;Helvetica;sans-serif"/>
                <w:b w:val="false"/>
                <w:i w:val="false"/>
                <w:caps w:val="false"/>
                <w:smallCaps w:val="false"/>
                <w:sz w:val="22"/>
              </w:rPr>
              <w:t xml:space="preserve">will tranship or transit the Product through a country/territory that is the target of country-wide sanctions (currently including Cuba, Iran, North Korea, Syria and Crimea region of Ukraine and subject to change of the Sanctions; </w:t>
            </w:r>
          </w:p>
        </w:tc>
      </w:tr>
    </w:tbl>
    <w:tbl>
      <w:tblPr>
        <w:tblW w:w="10205" w:type="dxa"/>
        <w:jc w:val="left"/>
        <w:tblInd w:w="0" w:type="dxa"/>
        <w:tblLayout w:type="fixed"/>
        <w:tblCellMar>
          <w:top w:w="0" w:type="dxa"/>
          <w:left w:w="0" w:type="dxa"/>
          <w:bottom w:w="0" w:type="dxa"/>
          <w:right w:w="0" w:type="dxa"/>
        </w:tblCellMar>
      </w:tblPr>
      <w:tblGrid>
        <w:gridCol w:w="23"/>
        <w:gridCol w:w="282"/>
        <w:gridCol w:w="9900"/>
      </w:tblGrid>
      <w:tr>
        <w:trPr/>
        <w:tc>
          <w:tcPr>
            <w:tcW w:w="23"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rFonts w:ascii="Arial;Helvetica;sans-serif" w:hAnsi="Arial;Helvetica;sans-serif"/>
                <w:sz w:val="22"/>
              </w:rPr>
            </w:pPr>
            <w:r>
              <w:rPr>
                <w:rFonts w:ascii="Arial;Helvetica;sans-serif" w:hAnsi="Arial;Helvetica;sans-serif"/>
                <w:sz w:val="22"/>
              </w:rPr>
              <w:t>(iv)</w:t>
            </w:r>
          </w:p>
        </w:tc>
        <w:tc>
          <w:tcPr>
            <w:tcW w:w="9900" w:type="dxa"/>
            <w:tcBorders/>
            <w:vAlign w:val="center"/>
          </w:tcPr>
          <w:p>
            <w:pPr>
              <w:pStyle w:val="TableContents"/>
              <w:bidi w:val="0"/>
              <w:spacing w:before="0" w:after="283"/>
              <w:jc w:val="left"/>
              <w:rPr>
                <w:rFonts w:ascii="Arial;Helvetica;sans-serif" w:hAnsi="Arial;Helvetica;sans-serif"/>
                <w:b w:val="false"/>
                <w:i w:val="false"/>
                <w:caps w:val="false"/>
                <w:smallCaps w:val="false"/>
                <w:sz w:val="22"/>
              </w:rPr>
            </w:pPr>
            <w:r>
              <w:rPr>
                <w:rFonts w:ascii="Arial;Helvetica;sans-serif" w:hAnsi="Arial;Helvetica;sans-serif"/>
                <w:b w:val="false"/>
                <w:i w:val="false"/>
                <w:caps w:val="false"/>
                <w:smallCaps w:val="false"/>
                <w:sz w:val="22"/>
              </w:rPr>
              <w:t>will make payment to or receive payment from, directly or indirectly, any Restricted Party in connection with the Product or transportation thereof which may cause either Party to breach any Sanctions or to be exposed to adverse action under any Sanctions (whether under secondary sanctions or otherwise); or</w:t>
            </w:r>
          </w:p>
        </w:tc>
      </w:tr>
    </w:tbl>
    <w:tbl>
      <w:tblPr>
        <w:tblW w:w="10205" w:type="dxa"/>
        <w:jc w:val="left"/>
        <w:tblInd w:w="0" w:type="dxa"/>
        <w:tblLayout w:type="fixed"/>
        <w:tblCellMar>
          <w:top w:w="0" w:type="dxa"/>
          <w:left w:w="0" w:type="dxa"/>
          <w:bottom w:w="0" w:type="dxa"/>
          <w:right w:w="0" w:type="dxa"/>
        </w:tblCellMar>
      </w:tblPr>
      <w:tblGrid>
        <w:gridCol w:w="23"/>
        <w:gridCol w:w="262"/>
        <w:gridCol w:w="9920"/>
      </w:tblGrid>
      <w:tr>
        <w:trPr/>
        <w:tc>
          <w:tcPr>
            <w:tcW w:w="23"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rFonts w:ascii="Arial;Helvetica;sans-serif" w:hAnsi="Arial;Helvetica;sans-serif"/>
                <w:sz w:val="22"/>
              </w:rPr>
            </w:pPr>
            <w:r>
              <w:rPr>
                <w:rFonts w:ascii="Arial;Helvetica;sans-serif" w:hAnsi="Arial;Helvetica;sans-serif"/>
                <w:sz w:val="22"/>
              </w:rPr>
              <w:t>(v)</w:t>
            </w:r>
          </w:p>
        </w:tc>
        <w:tc>
          <w:tcPr>
            <w:tcW w:w="9920" w:type="dxa"/>
            <w:tcBorders/>
            <w:vAlign w:val="center"/>
          </w:tcPr>
          <w:p>
            <w:pPr>
              <w:pStyle w:val="TableContents"/>
              <w:bidi w:val="0"/>
              <w:spacing w:before="0" w:after="283"/>
              <w:jc w:val="left"/>
              <w:rPr>
                <w:rFonts w:ascii="Arial;Helvetica;sans-serif" w:hAnsi="Arial;Helvetica;sans-serif"/>
                <w:b w:val="false"/>
                <w:i w:val="false"/>
                <w:caps w:val="false"/>
                <w:smallCaps w:val="false"/>
                <w:sz w:val="22"/>
              </w:rPr>
            </w:pPr>
            <w:r>
              <w:rPr>
                <w:rFonts w:ascii="Arial;Helvetica;sans-serif" w:hAnsi="Arial;Helvetica;sans-serif"/>
                <w:b w:val="false"/>
                <w:i w:val="false"/>
                <w:caps w:val="false"/>
                <w:smallCaps w:val="false"/>
                <w:sz w:val="22"/>
              </w:rPr>
              <w:t>otherwise will transact with any Restricted Party, directly or indirectly, or in violation of the Sanctions in connection with the purchase or sale of the Product.</w:t>
            </w:r>
          </w:p>
        </w:tc>
      </w:tr>
    </w:tbl>
    <w:p>
      <w:pPr>
        <w:pStyle w:val="TextBody"/>
        <w:pBdr/>
        <w:bidi w:val="0"/>
        <w:spacing w:before="0" w:after="0"/>
        <w:ind w:left="720" w:right="0" w:hanging="273"/>
        <w:jc w:val="both"/>
        <w:rPr>
          <w:rFonts w:ascii="Arial;Helvetica;sans-serif" w:hAnsi="Arial;Helvetica;sans-serif"/>
          <w:sz w:val="22"/>
        </w:rPr>
      </w:pPr>
      <w:r>
        <w:rPr>
          <w:rFonts w:ascii="Arial;Helvetica;sans-serif" w:hAnsi="Arial;Helvetica;sans-serif"/>
          <w:sz w:val="22"/>
        </w:rPr>
        <w:t>Each Party must comply with all applicable Sanctions.</w:t>
      </w:r>
    </w:p>
    <w:p>
      <w:pPr>
        <w:pStyle w:val="TextBody"/>
        <w:bidi w:val="0"/>
        <w:spacing w:before="0" w:after="0"/>
        <w:ind w:left="709" w:right="0" w:firstLine="11"/>
        <w:jc w:val="both"/>
        <w:rPr/>
      </w:pPr>
      <w:r>
        <w:rPr/>
        <w:t>​</w:t>
      </w:r>
    </w:p>
    <w:p>
      <w:pPr>
        <w:pStyle w:val="TextBody"/>
        <w:bidi w:val="0"/>
        <w:spacing w:before="0" w:after="0"/>
        <w:ind w:left="709" w:right="0" w:firstLine="11"/>
        <w:jc w:val="both"/>
        <w:rPr>
          <w:rFonts w:ascii="Arial;Helvetica;sans-serif" w:hAnsi="Arial;Helvetica;sans-serif"/>
          <w:sz w:val="22"/>
        </w:rPr>
      </w:pPr>
      <w:r>
        <w:rPr>
          <w:rFonts w:ascii="Arial;Helvetica;sans-serif" w:hAnsi="Arial;Helvetica;sans-serif"/>
          <w:sz w:val="22"/>
        </w:rPr>
        <w:t xml:space="preserve">The Buyer further represents and warrants that the Product will not be transported on a vessel or by other carrier owned, operated, flagged or chartered by any Restricted Party. The Seller shall have the right to reject any transaction in which the Buyer proposes to or in fact sells, resells, or delivers the Product to or for a Restricted Party, directly or indirectly. Each Party shall have the right to reject any transaction in which any </w:t>
      </w:r>
    </w:p>
    <w:p>
      <w:pPr>
        <w:pStyle w:val="TextBody"/>
        <w:bidi w:val="0"/>
        <w:spacing w:before="0" w:after="0"/>
        <w:ind w:left="0" w:right="0" w:hanging="0"/>
        <w:jc w:val="center"/>
        <w:rPr>
          <w:rFonts w:ascii="Arial;Helvetica;sans-serif" w:hAnsi="Arial;Helvetica;sans-serif"/>
          <w:caps/>
          <w:sz w:val="20"/>
        </w:rPr>
      </w:pPr>
      <w:r>
        <w:rPr>
          <w:rFonts w:ascii="Arial;Helvetica;sans-serif" w:hAnsi="Arial;Helvetica;sans-serif"/>
          <w:caps/>
          <w:sz w:val="20"/>
        </w:rPr>
        <w:t>14</w:t>
      </w:r>
    </w:p>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0"/>
        <w:ind w:left="709" w:right="0" w:hanging="0"/>
        <w:jc w:val="both"/>
        <w:rPr>
          <w:rFonts w:ascii="Arial;Helvetica;sans-serif" w:hAnsi="Arial;Helvetica;sans-serif"/>
          <w:sz w:val="22"/>
        </w:rPr>
      </w:pPr>
      <w:r>
        <w:rPr>
          <w:rFonts w:ascii="Arial;Helvetica;sans-serif" w:hAnsi="Arial;Helvetica;sans-serif"/>
          <w:sz w:val="22"/>
        </w:rPr>
        <w:t>Restricted Party will otherwise provide services in support of, or benefit from, this Agreement, directly or indirectly. The breaching Party shall be liable to the other Party for any costs, expenses, damages or delays as a result of the non-breaching Party exercising its right to reject a transaction under this Article XXIII.</w:t>
      </w:r>
    </w:p>
    <w:p>
      <w:pPr>
        <w:pStyle w:val="TextBody"/>
        <w:bidi w:val="0"/>
        <w:spacing w:before="0" w:after="0"/>
        <w:ind w:left="720" w:right="0" w:hanging="0"/>
        <w:jc w:val="both"/>
        <w:rPr/>
      </w:pPr>
      <w:r>
        <w:rPr/>
        <w:t>​</w:t>
      </w:r>
    </w:p>
    <w:p>
      <w:pPr>
        <w:pStyle w:val="TextBody"/>
        <w:pBdr/>
        <w:bidi w:val="0"/>
        <w:spacing w:before="0" w:after="0"/>
        <w:ind w:left="720" w:right="0" w:hanging="273"/>
        <w:jc w:val="both"/>
        <w:rPr>
          <w:rFonts w:ascii="Times New Roman;Times;serif" w:hAnsi="Times New Roman;Times;serif"/>
          <w:sz w:val="20"/>
        </w:rPr>
      </w:pPr>
      <w:r>
        <w:rPr>
          <w:rFonts w:ascii="Arial;Helvetica;sans-serif" w:hAnsi="Arial;Helvetica;sans-serif"/>
          <w:sz w:val="22"/>
        </w:rPr>
        <w:t xml:space="preserve">C. </w:t>
      </w:r>
      <w:r>
        <w:rPr>
          <w:rFonts w:ascii="Arial;Helvetica;sans-serif" w:hAnsi="Arial;Helvetica;sans-serif"/>
          <w:sz w:val="22"/>
          <w:u w:val="single"/>
        </w:rPr>
        <w:t>No Corrupt Practices</w:t>
      </w:r>
      <w:r>
        <w:rPr>
          <w:rFonts w:ascii="Arial;Helvetica;sans-serif" w:hAnsi="Arial;Helvetica;sans-serif"/>
          <w:sz w:val="22"/>
        </w:rPr>
        <w:t>.  </w:t>
      </w:r>
    </w:p>
    <w:p>
      <w:pPr>
        <w:pStyle w:val="TextBody"/>
        <w:pBdr/>
        <w:bidi w:val="0"/>
        <w:spacing w:before="0" w:after="0"/>
        <w:ind w:left="720" w:right="0" w:hanging="273"/>
        <w:jc w:val="both"/>
        <w:rPr>
          <w:rFonts w:ascii="Arial;Helvetica;sans-serif" w:hAnsi="Arial;Helvetica;sans-serif"/>
          <w:sz w:val="22"/>
        </w:rPr>
      </w:pPr>
      <w:r>
        <w:rPr>
          <w:rFonts w:ascii="Arial;Helvetica;sans-serif" w:hAnsi="Arial;Helvetica;sans-serif"/>
          <w:sz w:val="22"/>
        </w:rPr>
        <w:t>(a) Each Party represents and warrants to the other Party, in relation to this Agreement, that neither it nor any of its personnel or Related Entities has directly or indirectly offered or given, or will offer or give, anything of value to any Person (whether government official or otherwise):</w:t>
      </w:r>
    </w:p>
    <w:tbl>
      <w:tblPr>
        <w:tblW w:w="10205" w:type="dxa"/>
        <w:jc w:val="left"/>
        <w:tblInd w:w="0" w:type="dxa"/>
        <w:tblLayout w:type="fixed"/>
        <w:tblCellMar>
          <w:top w:w="0" w:type="dxa"/>
          <w:left w:w="0" w:type="dxa"/>
          <w:bottom w:w="0" w:type="dxa"/>
          <w:right w:w="0" w:type="dxa"/>
        </w:tblCellMar>
      </w:tblPr>
      <w:tblGrid>
        <w:gridCol w:w="23"/>
        <w:gridCol w:w="168"/>
        <w:gridCol w:w="10014"/>
      </w:tblGrid>
      <w:tr>
        <w:trPr/>
        <w:tc>
          <w:tcPr>
            <w:tcW w:w="23"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rFonts w:ascii="Arial;Helvetica;sans-serif" w:hAnsi="Arial;Helvetica;sans-serif"/>
                <w:sz w:val="22"/>
              </w:rPr>
            </w:pPr>
            <w:r>
              <w:rPr>
                <w:rFonts w:ascii="Arial;Helvetica;sans-serif" w:hAnsi="Arial;Helvetica;sans-serif"/>
                <w:sz w:val="22"/>
              </w:rPr>
              <w:t>(i)</w:t>
            </w:r>
          </w:p>
        </w:tc>
        <w:tc>
          <w:tcPr>
            <w:tcW w:w="10014" w:type="dxa"/>
            <w:tcBorders/>
            <w:vAlign w:val="center"/>
          </w:tcPr>
          <w:p>
            <w:pPr>
              <w:pStyle w:val="TableContents"/>
              <w:bidi w:val="0"/>
              <w:spacing w:before="0" w:after="283"/>
              <w:jc w:val="left"/>
              <w:rPr>
                <w:rFonts w:ascii="Arial;Helvetica;sans-serif" w:hAnsi="Arial;Helvetica;sans-serif"/>
                <w:b w:val="false"/>
                <w:i w:val="false"/>
                <w:caps w:val="false"/>
                <w:smallCaps w:val="false"/>
                <w:sz w:val="22"/>
              </w:rPr>
            </w:pPr>
            <w:r>
              <w:rPr>
                <w:rFonts w:ascii="Arial;Helvetica;sans-serif" w:hAnsi="Arial;Helvetica;sans-serif"/>
                <w:b w:val="false"/>
                <w:i w:val="false"/>
                <w:caps w:val="false"/>
                <w:smallCaps w:val="false"/>
                <w:sz w:val="22"/>
              </w:rPr>
              <w:t>to reward or induce the improper performance of any function or activity relating to this Agreement or the transactions contemplated hereby, including where it is known or believed that the acceptance of the offer or thing of value would itself be improper;</w:t>
            </w:r>
          </w:p>
        </w:tc>
      </w:tr>
    </w:tbl>
    <w:tbl>
      <w:tblPr>
        <w:tblW w:w="10205" w:type="dxa"/>
        <w:jc w:val="left"/>
        <w:tblInd w:w="0" w:type="dxa"/>
        <w:tblLayout w:type="fixed"/>
        <w:tblCellMar>
          <w:top w:w="0" w:type="dxa"/>
          <w:left w:w="0" w:type="dxa"/>
          <w:bottom w:w="0" w:type="dxa"/>
          <w:right w:w="0" w:type="dxa"/>
        </w:tblCellMar>
      </w:tblPr>
      <w:tblGrid>
        <w:gridCol w:w="23"/>
        <w:gridCol w:w="224"/>
        <w:gridCol w:w="9958"/>
      </w:tblGrid>
      <w:tr>
        <w:trPr/>
        <w:tc>
          <w:tcPr>
            <w:tcW w:w="23"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rFonts w:ascii="Arial;Helvetica;sans-serif" w:hAnsi="Arial;Helvetica;sans-serif"/>
                <w:sz w:val="22"/>
              </w:rPr>
            </w:pPr>
            <w:r>
              <w:rPr>
                <w:rFonts w:ascii="Arial;Helvetica;sans-serif" w:hAnsi="Arial;Helvetica;sans-serif"/>
                <w:sz w:val="22"/>
              </w:rPr>
              <w:t>(ii)</w:t>
            </w:r>
          </w:p>
        </w:tc>
        <w:tc>
          <w:tcPr>
            <w:tcW w:w="9958" w:type="dxa"/>
            <w:tcBorders/>
            <w:vAlign w:val="center"/>
          </w:tcPr>
          <w:p>
            <w:pPr>
              <w:pStyle w:val="TableContents"/>
              <w:bidi w:val="0"/>
              <w:spacing w:before="0" w:after="283"/>
              <w:jc w:val="left"/>
              <w:rPr>
                <w:rFonts w:ascii="Arial;Helvetica;sans-serif" w:hAnsi="Arial;Helvetica;sans-serif"/>
                <w:b w:val="false"/>
                <w:i w:val="false"/>
                <w:caps w:val="false"/>
                <w:smallCaps w:val="false"/>
                <w:sz w:val="22"/>
              </w:rPr>
            </w:pPr>
            <w:r>
              <w:rPr>
                <w:rFonts w:ascii="Arial;Helvetica;sans-serif" w:hAnsi="Arial;Helvetica;sans-serif"/>
                <w:b w:val="false"/>
                <w:i w:val="false"/>
                <w:caps w:val="false"/>
                <w:smallCaps w:val="false"/>
                <w:sz w:val="22"/>
              </w:rPr>
              <w:t xml:space="preserve">to influence any official or public conduct or function to obtain or retain business or a business advantage relating to this Agreement or the transactions contemplated hereby; and / or </w:t>
            </w:r>
          </w:p>
        </w:tc>
      </w:tr>
    </w:tbl>
    <w:tbl>
      <w:tblPr>
        <w:tblW w:w="10205" w:type="dxa"/>
        <w:jc w:val="left"/>
        <w:tblInd w:w="0" w:type="dxa"/>
        <w:tblLayout w:type="fixed"/>
        <w:tblCellMar>
          <w:top w:w="0" w:type="dxa"/>
          <w:left w:w="0" w:type="dxa"/>
          <w:bottom w:w="0" w:type="dxa"/>
          <w:right w:w="0" w:type="dxa"/>
        </w:tblCellMar>
      </w:tblPr>
      <w:tblGrid>
        <w:gridCol w:w="23"/>
        <w:gridCol w:w="264"/>
        <w:gridCol w:w="9918"/>
      </w:tblGrid>
      <w:tr>
        <w:trPr/>
        <w:tc>
          <w:tcPr>
            <w:tcW w:w="23"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rFonts w:ascii="Arial;Helvetica;sans-serif" w:hAnsi="Arial;Helvetica;sans-serif"/>
                <w:sz w:val="22"/>
              </w:rPr>
            </w:pPr>
            <w:r>
              <w:rPr>
                <w:rFonts w:ascii="Arial;Helvetica;sans-serif" w:hAnsi="Arial;Helvetica;sans-serif"/>
                <w:sz w:val="22"/>
              </w:rPr>
              <w:t>(iii)</w:t>
            </w:r>
          </w:p>
        </w:tc>
        <w:tc>
          <w:tcPr>
            <w:tcW w:w="9918" w:type="dxa"/>
            <w:tcBorders/>
            <w:vAlign w:val="center"/>
          </w:tcPr>
          <w:p>
            <w:pPr>
              <w:pStyle w:val="TableContents"/>
              <w:bidi w:val="0"/>
              <w:spacing w:before="0" w:after="283"/>
              <w:jc w:val="left"/>
              <w:rPr>
                <w:rFonts w:ascii="Arial;Helvetica;sans-serif" w:hAnsi="Arial;Helvetica;sans-serif"/>
                <w:b w:val="false"/>
                <w:i w:val="false"/>
                <w:caps w:val="false"/>
                <w:smallCaps w:val="false"/>
                <w:sz w:val="22"/>
              </w:rPr>
            </w:pPr>
            <w:r>
              <w:rPr>
                <w:rFonts w:ascii="Arial;Helvetica;sans-serif" w:hAnsi="Arial;Helvetica;sans-serif"/>
                <w:b w:val="false"/>
                <w:i w:val="false"/>
                <w:caps w:val="false"/>
                <w:smallCaps w:val="false"/>
                <w:sz w:val="22"/>
              </w:rPr>
              <w:t>where it is known or ought reasonably to have been known that the thing of value (or part thereof) would in turn be offered, promised or given to any other Person in any of the circumstances described above.</w:t>
            </w:r>
          </w:p>
        </w:tc>
      </w:tr>
    </w:tbl>
    <w:tbl>
      <w:tblPr>
        <w:tblW w:w="10205" w:type="dxa"/>
        <w:jc w:val="left"/>
        <w:tblInd w:w="0" w:type="dxa"/>
        <w:tblLayout w:type="fixed"/>
        <w:tblCellMar>
          <w:top w:w="0" w:type="dxa"/>
          <w:left w:w="0" w:type="dxa"/>
          <w:bottom w:w="0" w:type="dxa"/>
          <w:right w:w="0" w:type="dxa"/>
        </w:tblCellMar>
      </w:tblPr>
      <w:tblGrid>
        <w:gridCol w:w="23"/>
        <w:gridCol w:w="233"/>
        <w:gridCol w:w="9949"/>
      </w:tblGrid>
      <w:tr>
        <w:trPr/>
        <w:tc>
          <w:tcPr>
            <w:tcW w:w="2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rFonts w:ascii="Arial;Helvetica;sans-serif" w:hAnsi="Arial;Helvetica;sans-serif"/>
                <w:sz w:val="22"/>
              </w:rPr>
            </w:pPr>
            <w:r>
              <w:rPr>
                <w:rFonts w:ascii="Arial;Helvetica;sans-serif" w:hAnsi="Arial;Helvetica;sans-serif"/>
                <w:sz w:val="22"/>
              </w:rPr>
              <w:t>(b)</w:t>
            </w:r>
          </w:p>
        </w:tc>
        <w:tc>
          <w:tcPr>
            <w:tcW w:w="9949" w:type="dxa"/>
            <w:tcBorders/>
            <w:vAlign w:val="center"/>
          </w:tcPr>
          <w:p>
            <w:pPr>
              <w:pStyle w:val="TableContents"/>
              <w:bidi w:val="0"/>
              <w:spacing w:before="0" w:after="283"/>
              <w:jc w:val="left"/>
              <w:rPr>
                <w:rFonts w:ascii="Arial;Helvetica;sans-serif" w:hAnsi="Arial;Helvetica;sans-serif"/>
                <w:b w:val="false"/>
                <w:i w:val="false"/>
                <w:caps w:val="false"/>
                <w:smallCaps w:val="false"/>
                <w:sz w:val="22"/>
              </w:rPr>
            </w:pPr>
            <w:r>
              <w:rPr>
                <w:rFonts w:ascii="Arial;Helvetica;sans-serif" w:hAnsi="Arial;Helvetica;sans-serif"/>
                <w:b w:val="false"/>
                <w:i w:val="false"/>
                <w:caps w:val="false"/>
                <w:smallCaps w:val="false"/>
                <w:sz w:val="22"/>
              </w:rPr>
              <w:t xml:space="preserve">Each Party must ensure that neither it nor any of its personnel or Related Entities directly or indirectly accept any payment or gift or other advantage that contravenes any applicable Anti-Corruption Legislation in relation to this Agreement, and represents and warrants that the funds used to purchase the Product do not originate from the proceeds of criminal activities. </w:t>
            </w:r>
          </w:p>
        </w:tc>
      </w:tr>
    </w:tbl>
    <w:tbl>
      <w:tblPr>
        <w:tblW w:w="10205" w:type="dxa"/>
        <w:jc w:val="left"/>
        <w:tblInd w:w="0" w:type="dxa"/>
        <w:tblLayout w:type="fixed"/>
        <w:tblCellMar>
          <w:top w:w="0" w:type="dxa"/>
          <w:left w:w="0" w:type="dxa"/>
          <w:bottom w:w="0" w:type="dxa"/>
          <w:right w:w="0" w:type="dxa"/>
        </w:tblCellMar>
      </w:tblPr>
      <w:tblGrid>
        <w:gridCol w:w="23"/>
        <w:gridCol w:w="240"/>
        <w:gridCol w:w="9942"/>
      </w:tblGrid>
      <w:tr>
        <w:trPr/>
        <w:tc>
          <w:tcPr>
            <w:tcW w:w="23"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rFonts w:ascii="Arial;Helvetica;sans-serif" w:hAnsi="Arial;Helvetica;sans-serif"/>
                <w:sz w:val="22"/>
              </w:rPr>
            </w:pPr>
            <w:r>
              <w:rPr>
                <w:rFonts w:ascii="Arial;Helvetica;sans-serif" w:hAnsi="Arial;Helvetica;sans-serif"/>
                <w:sz w:val="22"/>
              </w:rPr>
              <w:t>(c)</w:t>
            </w:r>
          </w:p>
        </w:tc>
        <w:tc>
          <w:tcPr>
            <w:tcW w:w="9942" w:type="dxa"/>
            <w:tcBorders/>
            <w:vAlign w:val="center"/>
          </w:tcPr>
          <w:p>
            <w:pPr>
              <w:pStyle w:val="TableContents"/>
              <w:bidi w:val="0"/>
              <w:spacing w:before="0" w:after="283"/>
              <w:jc w:val="left"/>
              <w:rPr>
                <w:rFonts w:ascii="Arial;Helvetica;sans-serif" w:hAnsi="Arial;Helvetica;sans-serif"/>
                <w:b w:val="false"/>
                <w:i w:val="false"/>
                <w:caps w:val="false"/>
                <w:smallCaps w:val="false"/>
                <w:sz w:val="22"/>
              </w:rPr>
            </w:pPr>
            <w:r>
              <w:rPr>
                <w:rFonts w:ascii="Arial;Helvetica;sans-serif" w:hAnsi="Arial;Helvetica;sans-serif"/>
                <w:b w:val="false"/>
                <w:i w:val="false"/>
                <w:caps w:val="false"/>
                <w:smallCaps w:val="false"/>
                <w:sz w:val="22"/>
              </w:rPr>
              <w:t xml:space="preserve">A Party will advise the other Party in the event it or any of its personnel or Related Entities are subject to a formal investigation, proceeding, conviction or written notice relating to the circumstances described in Article XXIII.C.(a) or (b) above, to the extent legally permissible. </w:t>
            </w:r>
          </w:p>
        </w:tc>
      </w:tr>
    </w:tbl>
    <w:tbl>
      <w:tblPr>
        <w:tblW w:w="10205" w:type="dxa"/>
        <w:jc w:val="left"/>
        <w:tblInd w:w="0" w:type="dxa"/>
        <w:tblLayout w:type="fixed"/>
        <w:tblCellMar>
          <w:top w:w="0" w:type="dxa"/>
          <w:left w:w="0" w:type="dxa"/>
          <w:bottom w:w="0" w:type="dxa"/>
          <w:right w:w="0" w:type="dxa"/>
        </w:tblCellMar>
      </w:tblPr>
      <w:tblGrid>
        <w:gridCol w:w="23"/>
        <w:gridCol w:w="269"/>
        <w:gridCol w:w="9913"/>
      </w:tblGrid>
      <w:tr>
        <w:trPr/>
        <w:tc>
          <w:tcPr>
            <w:tcW w:w="23"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rFonts w:ascii="Arial;Helvetica;sans-serif" w:hAnsi="Arial;Helvetica;sans-serif"/>
                <w:sz w:val="22"/>
              </w:rPr>
            </w:pPr>
            <w:r>
              <w:rPr>
                <w:rFonts w:ascii="Arial;Helvetica;sans-serif" w:hAnsi="Arial;Helvetica;sans-serif"/>
                <w:sz w:val="22"/>
              </w:rPr>
              <w:t>(d)</w:t>
            </w:r>
          </w:p>
        </w:tc>
        <w:tc>
          <w:tcPr>
            <w:tcW w:w="9913" w:type="dxa"/>
            <w:tcBorders/>
            <w:vAlign w:val="center"/>
          </w:tcPr>
          <w:p>
            <w:pPr>
              <w:pStyle w:val="TableContents"/>
              <w:bidi w:val="0"/>
              <w:spacing w:before="0" w:after="283"/>
              <w:jc w:val="left"/>
              <w:rPr/>
            </w:pPr>
            <w:r>
              <w:rPr>
                <w:rFonts w:ascii="Arial;Helvetica;sans-serif" w:hAnsi="Arial;Helvetica;sans-serif"/>
                <w:b w:val="false"/>
                <w:i w:val="false"/>
                <w:caps w:val="false"/>
                <w:smallCaps w:val="false"/>
                <w:sz w:val="22"/>
              </w:rPr>
              <w:t>A Party shall indemnify the other Party against any loss or claim arising as a result of any breach by the such Party of this Article XXIII.</w:t>
            </w:r>
            <w:r>
              <w:rPr>
                <w:caps w:val="false"/>
                <w:smallCaps w:val="false"/>
              </w:rPr>
              <w:t xml:space="preserve"> </w:t>
            </w:r>
          </w:p>
        </w:tc>
      </w:tr>
    </w:tbl>
    <w:p>
      <w:pPr>
        <w:pStyle w:val="TextBody"/>
        <w:bidi w:val="0"/>
        <w:spacing w:before="0" w:after="0"/>
        <w:ind w:left="0" w:right="0" w:hanging="0"/>
        <w:jc w:val="both"/>
        <w:rPr/>
      </w:pPr>
      <w:r>
        <w:rPr/>
        <w:t>​</w:t>
      </w:r>
    </w:p>
    <w:p>
      <w:pPr>
        <w:pStyle w:val="TextBody"/>
        <w:pBdr/>
        <w:bidi w:val="0"/>
        <w:spacing w:before="0" w:after="0"/>
        <w:ind w:left="0" w:right="0" w:hanging="720"/>
        <w:jc w:val="both"/>
        <w:rPr>
          <w:rFonts w:ascii="Arial;Helvetica;sans-serif" w:hAnsi="Arial;Helvetica;sans-serif"/>
          <w:b/>
          <w:sz w:val="22"/>
        </w:rPr>
      </w:pPr>
      <w:r>
        <w:rPr>
          <w:rFonts w:ascii="Arial;Helvetica;sans-serif" w:hAnsi="Arial;Helvetica;sans-serif"/>
          <w:b/>
          <w:sz w:val="22"/>
        </w:rPr>
        <w:t xml:space="preserve">ARTICLE XXIV. DEFINITIONS </w:t>
      </w:r>
    </w:p>
    <w:p>
      <w:pPr>
        <w:pStyle w:val="TextBody"/>
        <w:bidi w:val="0"/>
        <w:spacing w:before="0" w:after="0"/>
        <w:ind w:left="720" w:right="0" w:hanging="0"/>
        <w:jc w:val="both"/>
        <w:rPr/>
      </w:pPr>
      <w:r>
        <w:rPr/>
        <w:t>​</w:t>
      </w:r>
    </w:p>
    <w:p>
      <w:pPr>
        <w:pStyle w:val="TextBody"/>
        <w:bidi w:val="0"/>
        <w:spacing w:before="0" w:after="120"/>
        <w:ind w:left="709" w:right="0" w:hanging="0"/>
        <w:jc w:val="left"/>
        <w:rPr/>
      </w:pPr>
      <w:r>
        <w:rPr/>
        <w:t>“</w:t>
      </w:r>
      <w:r>
        <w:rPr>
          <w:rFonts w:ascii="Arial;Helvetica;sans-serif" w:hAnsi="Arial;Helvetica;sans-serif"/>
          <w:b/>
          <w:sz w:val="22"/>
        </w:rPr>
        <w:t>Anti-Corruption Legislation</w:t>
      </w:r>
      <w:r>
        <w:rPr>
          <w:rFonts w:ascii="Times New Roman;Times;serif" w:hAnsi="Times New Roman;Times;serif"/>
          <w:sz w:val="20"/>
        </w:rPr>
        <w:t xml:space="preserve">” </w:t>
      </w:r>
      <w:r>
        <w:rPr>
          <w:rFonts w:ascii="Arial;Helvetica;sans-serif" w:hAnsi="Arial;Helvetica;sans-serif"/>
          <w:sz w:val="22"/>
        </w:rPr>
        <w:t>means the legislation of any applicable jurisdiction which regulates anti-bribery, the prohibition of corrupt practices and other related matters.</w:t>
      </w:r>
    </w:p>
    <w:p>
      <w:pPr>
        <w:pStyle w:val="TextBody"/>
        <w:bidi w:val="0"/>
        <w:spacing w:before="0" w:after="120"/>
        <w:ind w:left="709" w:right="0" w:hanging="0"/>
        <w:jc w:val="left"/>
        <w:rPr/>
      </w:pPr>
      <w:r>
        <w:rPr/>
        <w:t>“</w:t>
      </w:r>
      <w:r>
        <w:rPr>
          <w:rFonts w:ascii="Arial;Helvetica;sans-serif" w:hAnsi="Arial;Helvetica;sans-serif"/>
          <w:b/>
          <w:sz w:val="22"/>
        </w:rPr>
        <w:t>Person</w:t>
      </w:r>
      <w:r>
        <w:rPr>
          <w:rFonts w:ascii="Times New Roman;Times;serif" w:hAnsi="Times New Roman;Times;serif"/>
          <w:sz w:val="20"/>
        </w:rPr>
        <w:t xml:space="preserve">” </w:t>
      </w:r>
      <w:r>
        <w:rPr>
          <w:rFonts w:ascii="Arial;Helvetica;sans-serif" w:hAnsi="Arial;Helvetica;sans-serif"/>
          <w:sz w:val="22"/>
        </w:rPr>
        <w:t>means any natural person, corporate or unincorporated body (whether or not having separate legal personality), individual, corporation, partnership, limited liability company or similar entity.</w:t>
      </w:r>
    </w:p>
    <w:p>
      <w:pPr>
        <w:pStyle w:val="TextBody"/>
        <w:bidi w:val="0"/>
        <w:spacing w:before="0" w:after="120"/>
        <w:ind w:left="709" w:right="0" w:hanging="0"/>
        <w:jc w:val="both"/>
        <w:rPr/>
      </w:pPr>
      <w:r>
        <w:rPr/>
        <w:t>“</w:t>
      </w:r>
      <w:r>
        <w:rPr>
          <w:rFonts w:ascii="Arial;Helvetica;sans-serif" w:hAnsi="Arial;Helvetica;sans-serif"/>
          <w:b/>
          <w:sz w:val="22"/>
        </w:rPr>
        <w:t>Related Entity</w:t>
      </w:r>
      <w:r>
        <w:rPr>
          <w:rFonts w:ascii="Times New Roman;Times;serif" w:hAnsi="Times New Roman;Times;serif"/>
          <w:sz w:val="20"/>
        </w:rPr>
        <w:t xml:space="preserve">” </w:t>
      </w:r>
      <w:r>
        <w:rPr>
          <w:rFonts w:ascii="Arial;Helvetica;sans-serif" w:hAnsi="Arial;Helvetica;sans-serif"/>
          <w:sz w:val="22"/>
        </w:rPr>
        <w:t>means an entity which controls, is controlled by or under common control with, whether directly or indirectly, a Party; “control” for the purposes of this clause includes holding 50% or more voting rights, having the right to appoint or remove a majority of members of the board of directors (or an equivalent decision-making body) or otherwise control the composition of or voting at the meeting of the board of directors (or an equivalent decision-making body); “entity” for the purposes of this clause includes any corporation, incorporated or unincorporated joint venture, association or trust.</w:t>
      </w:r>
    </w:p>
    <w:p>
      <w:pPr>
        <w:pStyle w:val="TextBody"/>
        <w:bidi w:val="0"/>
        <w:spacing w:before="0" w:after="0"/>
        <w:ind w:left="709" w:right="0" w:hanging="0"/>
        <w:jc w:val="both"/>
        <w:rPr/>
      </w:pPr>
      <w:r>
        <w:rPr/>
        <w:t>“</w:t>
      </w:r>
      <w:r>
        <w:rPr>
          <w:rFonts w:ascii="Arial;Helvetica;sans-serif" w:hAnsi="Arial;Helvetica;sans-serif"/>
          <w:b/>
          <w:sz w:val="22"/>
        </w:rPr>
        <w:t>Restricted Party</w:t>
      </w:r>
      <w:r>
        <w:rPr>
          <w:rFonts w:ascii="Times New Roman;Times;serif" w:hAnsi="Times New Roman;Times;serif"/>
          <w:sz w:val="20"/>
        </w:rPr>
        <w:t xml:space="preserve">” </w:t>
      </w:r>
      <w:r>
        <w:rPr>
          <w:rFonts w:ascii="Arial;Helvetica;sans-serif" w:hAnsi="Arial;Helvetica;sans-serif"/>
          <w:sz w:val="22"/>
        </w:rPr>
        <w:t xml:space="preserve">means any person or entity that is the target of Sanctions, including (a) any person, entity or vessel identified in any list of designated persons maintained </w:t>
      </w:r>
    </w:p>
    <w:p>
      <w:pPr>
        <w:pStyle w:val="TextBody"/>
        <w:bidi w:val="0"/>
        <w:spacing w:before="0" w:after="0"/>
        <w:ind w:left="0" w:right="0" w:hanging="0"/>
        <w:jc w:val="center"/>
        <w:rPr>
          <w:rFonts w:ascii="Arial;Helvetica;sans-serif" w:hAnsi="Arial;Helvetica;sans-serif"/>
          <w:caps/>
          <w:sz w:val="20"/>
        </w:rPr>
      </w:pPr>
      <w:r>
        <w:rPr>
          <w:rFonts w:ascii="Arial;Helvetica;sans-serif" w:hAnsi="Arial;Helvetica;sans-serif"/>
          <w:caps/>
          <w:sz w:val="20"/>
        </w:rPr>
        <w:t>15</w:t>
      </w:r>
    </w:p>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120"/>
        <w:ind w:left="709" w:right="0" w:hanging="0"/>
        <w:jc w:val="both"/>
        <w:rPr>
          <w:rFonts w:ascii="Arial;Helvetica;sans-serif" w:hAnsi="Arial;Helvetica;sans-serif"/>
          <w:sz w:val="22"/>
        </w:rPr>
      </w:pPr>
      <w:r>
        <w:rPr>
          <w:rFonts w:ascii="Arial;Helvetica;sans-serif" w:hAnsi="Arial;Helvetica;sans-serif"/>
          <w:sz w:val="22"/>
        </w:rPr>
        <w:t>by the U.S. Treasury Department’s Office of Foreign Assets Control or other U.S. or non-U.S. government entity under its Sanctions; (b) any person or entity resident or organised in any country or territory that is the target of comprehensive Sanctions (currently Cuba, Iran, North Korea, Syria, and the Crimea region of Ukraine and subject to change in the Sanctions); or (c) any person 50% or more owned (individually or in the aggregate) or controlled by a Restricted Party or someone acting on behalf of a Restricted Party.</w:t>
      </w:r>
    </w:p>
    <w:p>
      <w:pPr>
        <w:pStyle w:val="TextBody"/>
        <w:bidi w:val="0"/>
        <w:spacing w:before="0" w:after="120"/>
        <w:ind w:left="709" w:right="0" w:hanging="0"/>
        <w:jc w:val="both"/>
        <w:rPr/>
      </w:pPr>
      <w:r>
        <w:rPr/>
        <w:t>“</w:t>
      </w:r>
      <w:r>
        <w:rPr>
          <w:rFonts w:ascii="Arial;Helvetica;sans-serif" w:hAnsi="Arial;Helvetica;sans-serif"/>
          <w:b/>
          <w:sz w:val="22"/>
        </w:rPr>
        <w:t>Rio Tinto Business Standards</w:t>
      </w:r>
      <w:r>
        <w:rPr>
          <w:rFonts w:ascii="Times New Roman;Times;serif" w:hAnsi="Times New Roman;Times;serif"/>
          <w:sz w:val="20"/>
        </w:rPr>
        <w:t xml:space="preserve">” </w:t>
      </w:r>
      <w:r>
        <w:rPr>
          <w:rFonts w:ascii="Arial;Helvetica;sans-serif" w:hAnsi="Arial;Helvetica;sans-serif"/>
          <w:sz w:val="22"/>
        </w:rPr>
        <w:t>means the policies that govern the expected corporate conduct of the Rio Tinto Group and which includes the documents entitled The Way We Work and the Business Integrity Standard which are the Policies &amp; Standards page on the www.riotinto.com</w:t>
      </w:r>
      <w:r>
        <w:rPr>
          <w:rFonts w:ascii="Times New Roman;Times;serif" w:hAnsi="Times New Roman;Times;serif"/>
          <w:sz w:val="20"/>
        </w:rPr>
        <w:t xml:space="preserve"> </w:t>
      </w:r>
      <w:r>
        <w:rPr>
          <w:rFonts w:ascii="Arial;Helvetica;sans-serif" w:hAnsi="Arial;Helvetica;sans-serif"/>
          <w:sz w:val="22"/>
        </w:rPr>
        <w:t>website at https://www.riotinto.com/sustainability/policies</w:t>
      </w:r>
      <w:r>
        <w:rPr>
          <w:rFonts w:ascii="Arial;Helvetica;sans-serif" w:hAnsi="Arial;Helvetica;sans-serif"/>
          <w:sz w:val="22"/>
          <w:u w:val="single"/>
        </w:rPr>
        <w:t>.</w:t>
      </w:r>
    </w:p>
    <w:p>
      <w:pPr>
        <w:pStyle w:val="TextBody"/>
        <w:bidi w:val="0"/>
        <w:spacing w:before="0" w:after="120"/>
        <w:ind w:left="709" w:right="0" w:hanging="0"/>
        <w:jc w:val="both"/>
        <w:rPr/>
      </w:pPr>
      <w:r>
        <w:rPr/>
        <w:t>“</w:t>
      </w:r>
      <w:r>
        <w:rPr>
          <w:rFonts w:ascii="Arial;Helvetica;sans-serif" w:hAnsi="Arial;Helvetica;sans-serif"/>
          <w:b/>
          <w:sz w:val="22"/>
        </w:rPr>
        <w:t>Rio Tinto Group</w:t>
      </w:r>
      <w:r>
        <w:rPr>
          <w:rFonts w:ascii="Times New Roman;Times;serif" w:hAnsi="Times New Roman;Times;serif"/>
          <w:sz w:val="20"/>
        </w:rPr>
        <w:t xml:space="preserve">” </w:t>
      </w:r>
      <w:r>
        <w:rPr>
          <w:rFonts w:ascii="Arial;Helvetica;sans-serif" w:hAnsi="Arial;Helvetica;sans-serif"/>
          <w:sz w:val="22"/>
        </w:rPr>
        <w:t>means Rio Tinto Limited (ABN 96 004 458 404), Rio Tinto plc (UK company no. 719885) and their respective Related Entities.</w:t>
      </w:r>
    </w:p>
    <w:p>
      <w:pPr>
        <w:pStyle w:val="TextBody"/>
        <w:bidi w:val="0"/>
        <w:spacing w:before="0" w:after="0"/>
        <w:ind w:left="0" w:right="0" w:hanging="0"/>
        <w:jc w:val="both"/>
        <w:rPr/>
      </w:pPr>
      <w:r>
        <w:rPr/>
        <w:t>​</w:t>
      </w:r>
    </w:p>
    <w:p>
      <w:pPr>
        <w:pStyle w:val="TextBody"/>
        <w:bidi w:val="0"/>
        <w:spacing w:before="0" w:after="0"/>
        <w:ind w:left="0" w:right="0" w:hanging="0"/>
        <w:jc w:val="both"/>
        <w:rPr/>
      </w:pPr>
      <w:r>
        <w:rPr/>
        <w:t>​</w:t>
      </w:r>
    </w:p>
    <w:p>
      <w:pPr>
        <w:pStyle w:val="TextBody"/>
        <w:bidi w:val="0"/>
        <w:spacing w:before="0" w:after="0"/>
        <w:ind w:left="0" w:right="0" w:hanging="0"/>
        <w:jc w:val="both"/>
        <w:rPr/>
      </w:pPr>
      <w:r>
        <w:rPr/>
        <w:t>​</w:t>
      </w:r>
    </w:p>
    <w:p>
      <w:pPr>
        <w:pStyle w:val="TextBody"/>
        <w:bidi w:val="0"/>
        <w:spacing w:before="0" w:after="0"/>
        <w:ind w:left="0" w:right="0" w:hanging="0"/>
        <w:jc w:val="both"/>
        <w:rPr/>
      </w:pPr>
      <w:r>
        <w:rPr/>
        <w:t>​</w:t>
      </w:r>
    </w:p>
    <w:p>
      <w:pPr>
        <w:pStyle w:val="TextBody"/>
        <w:bidi w:val="0"/>
        <w:spacing w:before="0" w:after="0"/>
        <w:ind w:left="0" w:right="0" w:hanging="0"/>
        <w:jc w:val="center"/>
        <w:rPr>
          <w:rFonts w:ascii="Arial;Helvetica;sans-serif" w:hAnsi="Arial;Helvetica;sans-serif"/>
          <w:i/>
          <w:sz w:val="22"/>
        </w:rPr>
      </w:pPr>
      <w:r>
        <w:rPr>
          <w:rFonts w:ascii="Arial;Helvetica;sans-serif" w:hAnsi="Arial;Helvetica;sans-serif"/>
          <w:i/>
          <w:sz w:val="22"/>
        </w:rPr>
        <w:t>[Signatures Omitted.]</w:t>
      </w:r>
    </w:p>
    <w:p>
      <w:pPr>
        <w:pStyle w:val="TextBody"/>
        <w:bidi w:val="0"/>
        <w:spacing w:before="0" w:after="0"/>
        <w:ind w:left="0" w:right="0" w:hanging="0"/>
        <w:jc w:val="center"/>
        <w:rPr>
          <w:rFonts w:ascii="Arial;Helvetica;sans-serif" w:hAnsi="Arial;Helvetica;sans-serif"/>
          <w:caps/>
          <w:sz w:val="20"/>
        </w:rPr>
      </w:pPr>
      <w:r>
        <w:rPr>
          <w:rFonts w:ascii="Arial;Helvetica;sans-serif" w:hAnsi="Arial;Helvetica;sans-serif"/>
          <w:caps/>
          <w:sz w:val="20"/>
        </w:rPr>
        <w:t>16</w:t>
      </w:r>
    </w:p>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200"/>
        <w:ind w:left="0" w:right="0" w:hanging="0"/>
        <w:jc w:val="right"/>
        <w:rPr>
          <w:rFonts w:ascii="Times New Roman;Times;serif" w:hAnsi="Times New Roman;Times;serif"/>
          <w:b/>
          <w:sz w:val="20"/>
        </w:rPr>
      </w:pPr>
      <w:bookmarkStart w:id="844" w:name="nl-20260331xex31d1.htm"/>
      <w:bookmarkStart w:id="845" w:name="ksnl20260331xex31d1"/>
      <w:bookmarkEnd w:id="844"/>
      <w:bookmarkEnd w:id="845"/>
      <w:r>
        <w:rPr>
          <w:rFonts w:ascii="Times New Roman;Times;serif" w:hAnsi="Times New Roman;Times;serif"/>
          <w:b/>
          <w:sz w:val="20"/>
        </w:rPr>
        <w:t>EXHIBIT 31.1</w:t>
      </w:r>
      <w:r>
        <w:br w:type="page"/>
      </w:r>
    </w:p>
    <w:p>
      <w:pPr>
        <w:pStyle w:val="TextBody"/>
        <w:bidi w:val="0"/>
        <w:spacing w:before="0" w:after="200"/>
        <w:ind w:left="0" w:right="0" w:hanging="0"/>
        <w:jc w:val="center"/>
        <w:rPr>
          <w:rFonts w:ascii="Times New Roman;Times;serif" w:hAnsi="Times New Roman;Times;serif"/>
          <w:b/>
          <w:sz w:val="20"/>
        </w:rPr>
      </w:pPr>
      <w:r>
        <w:rPr>
          <w:rFonts w:ascii="Times New Roman;Times;serif" w:hAnsi="Times New Roman;Times;serif"/>
          <w:b/>
          <w:sz w:val="20"/>
        </w:rPr>
        <w:t>CERTIFICATION</w:t>
      </w:r>
    </w:p>
    <w:p>
      <w:pPr>
        <w:pStyle w:val="TextBody"/>
        <w:bidi w:val="0"/>
        <w:spacing w:before="0" w:after="200"/>
        <w:ind w:left="0" w:right="0" w:hanging="0"/>
        <w:jc w:val="both"/>
        <w:rPr>
          <w:rFonts w:ascii="Times New Roman;Times;serif" w:hAnsi="Times New Roman;Times;serif"/>
          <w:sz w:val="20"/>
        </w:rPr>
      </w:pPr>
      <w:r>
        <w:rPr>
          <w:rFonts w:ascii="Times New Roman;Times;serif" w:hAnsi="Times New Roman;Times;serif"/>
          <w:sz w:val="20"/>
        </w:rPr>
        <w:t>I, Courtney J. Riley, certify that:</w:t>
      </w:r>
    </w:p>
    <w:tbl>
      <w:tblPr>
        <w:tblW w:w="6100" w:type="dxa"/>
        <w:jc w:val="left"/>
        <w:tblInd w:w="0" w:type="dxa"/>
        <w:tblLayout w:type="fixed"/>
        <w:tblCellMar>
          <w:top w:w="0" w:type="dxa"/>
          <w:left w:w="0" w:type="dxa"/>
          <w:bottom w:w="0" w:type="dxa"/>
          <w:right w:w="0" w:type="dxa"/>
        </w:tblCellMar>
      </w:tblPr>
      <w:tblGrid>
        <w:gridCol w:w="185"/>
        <w:gridCol w:w="5915"/>
      </w:tblGrid>
      <w:tr>
        <w:trPr/>
        <w:tc>
          <w:tcPr>
            <w:tcW w:w="185" w:type="dxa"/>
            <w:tcBorders/>
            <w:vAlign w:val="center"/>
          </w:tcPr>
          <w:p>
            <w:pPr>
              <w:pStyle w:val="TableContents"/>
              <w:bidi w:val="0"/>
              <w:spacing w:before="0" w:after="200"/>
              <w:jc w:val="both"/>
              <w:rPr>
                <w:rFonts w:ascii="Times New Roman;Times;serif" w:hAnsi="Times New Roman;Times;serif"/>
                <w:sz w:val="20"/>
              </w:rPr>
            </w:pPr>
            <w:r>
              <w:rPr>
                <w:rFonts w:ascii="Times New Roman;Times;serif" w:hAnsi="Times New Roman;Times;serif"/>
                <w:sz w:val="20"/>
              </w:rPr>
              <w:t>1)</w:t>
            </w:r>
          </w:p>
        </w:tc>
        <w:tc>
          <w:tcPr>
            <w:tcW w:w="5915" w:type="dxa"/>
            <w:tcBorders/>
            <w:vAlign w:val="center"/>
          </w:tcPr>
          <w:p>
            <w:pPr>
              <w:pStyle w:val="TableContents"/>
              <w:bidi w:val="0"/>
              <w:spacing w:before="0" w:after="200"/>
              <w:jc w:val="both"/>
              <w:rPr>
                <w:rFonts w:ascii="Times New Roman;Times;serif" w:hAnsi="Times New Roman;Times;serif"/>
                <w:sz w:val="20"/>
              </w:rPr>
            </w:pPr>
            <w:r>
              <w:rPr>
                <w:rFonts w:ascii="Times New Roman;Times;serif" w:hAnsi="Times New Roman;Times;serif"/>
                <w:sz w:val="20"/>
              </w:rPr>
              <w:t>I have reviewed this quarterly report on Form 10-Q of NL Industries, Inc.;</w:t>
            </w:r>
          </w:p>
        </w:tc>
      </w:tr>
    </w:tbl>
    <w:tbl>
      <w:tblPr>
        <w:tblW w:w="10205" w:type="dxa"/>
        <w:jc w:val="left"/>
        <w:tblInd w:w="0" w:type="dxa"/>
        <w:tblLayout w:type="fixed"/>
        <w:tblCellMar>
          <w:top w:w="0" w:type="dxa"/>
          <w:left w:w="0" w:type="dxa"/>
          <w:bottom w:w="0" w:type="dxa"/>
          <w:right w:w="0" w:type="dxa"/>
        </w:tblCellMar>
      </w:tblPr>
      <w:tblGrid>
        <w:gridCol w:w="148"/>
        <w:gridCol w:w="10057"/>
      </w:tblGrid>
      <w:tr>
        <w:trPr/>
        <w:tc>
          <w:tcPr>
            <w:tcW w:w="148" w:type="dxa"/>
            <w:tcBorders/>
            <w:vAlign w:val="center"/>
          </w:tcPr>
          <w:p>
            <w:pPr>
              <w:pStyle w:val="TableContents"/>
              <w:bidi w:val="0"/>
              <w:spacing w:before="0" w:after="200"/>
              <w:jc w:val="both"/>
              <w:rPr>
                <w:rFonts w:ascii="Times New Roman;Times;serif" w:hAnsi="Times New Roman;Times;serif"/>
                <w:sz w:val="20"/>
              </w:rPr>
            </w:pPr>
            <w:r>
              <w:rPr>
                <w:rFonts w:ascii="Times New Roman;Times;serif" w:hAnsi="Times New Roman;Times;serif"/>
                <w:sz w:val="20"/>
              </w:rPr>
              <w:t>2)</w:t>
            </w:r>
          </w:p>
        </w:tc>
        <w:tc>
          <w:tcPr>
            <w:tcW w:w="10057" w:type="dxa"/>
            <w:tcBorders/>
            <w:vAlign w:val="center"/>
          </w:tcPr>
          <w:p>
            <w:pPr>
              <w:pStyle w:val="TableContents"/>
              <w:bidi w:val="0"/>
              <w:spacing w:before="0" w:after="200"/>
              <w:jc w:val="both"/>
              <w:rPr>
                <w:rFonts w:ascii="Times New Roman;Times;serif" w:hAnsi="Times New Roman;Times;serif"/>
                <w:sz w:val="20"/>
              </w:rPr>
            </w:pPr>
            <w:r>
              <w:rPr>
                <w:rFonts w:ascii="Times New Roman;Times;serif" w:hAnsi="Times New Roman;Times;serif"/>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tc>
      </w:tr>
    </w:tbl>
    <w:tbl>
      <w:tblPr>
        <w:tblW w:w="10205" w:type="dxa"/>
        <w:jc w:val="left"/>
        <w:tblInd w:w="0" w:type="dxa"/>
        <w:tblLayout w:type="fixed"/>
        <w:tblCellMar>
          <w:top w:w="0" w:type="dxa"/>
          <w:left w:w="0" w:type="dxa"/>
          <w:bottom w:w="0" w:type="dxa"/>
          <w:right w:w="0" w:type="dxa"/>
        </w:tblCellMar>
      </w:tblPr>
      <w:tblGrid>
        <w:gridCol w:w="151"/>
        <w:gridCol w:w="10054"/>
      </w:tblGrid>
      <w:tr>
        <w:trPr/>
        <w:tc>
          <w:tcPr>
            <w:tcW w:w="151" w:type="dxa"/>
            <w:tcBorders/>
            <w:vAlign w:val="center"/>
          </w:tcPr>
          <w:p>
            <w:pPr>
              <w:pStyle w:val="TableContents"/>
              <w:bidi w:val="0"/>
              <w:spacing w:before="0" w:after="200"/>
              <w:jc w:val="both"/>
              <w:rPr>
                <w:rFonts w:ascii="Times New Roman;Times;serif" w:hAnsi="Times New Roman;Times;serif"/>
                <w:sz w:val="20"/>
              </w:rPr>
            </w:pPr>
            <w:r>
              <w:rPr>
                <w:rFonts w:ascii="Times New Roman;Times;serif" w:hAnsi="Times New Roman;Times;serif"/>
                <w:sz w:val="20"/>
              </w:rPr>
              <w:t>3)</w:t>
            </w:r>
          </w:p>
        </w:tc>
        <w:tc>
          <w:tcPr>
            <w:tcW w:w="10054" w:type="dxa"/>
            <w:tcBorders/>
            <w:vAlign w:val="center"/>
          </w:tcPr>
          <w:p>
            <w:pPr>
              <w:pStyle w:val="TableContents"/>
              <w:bidi w:val="0"/>
              <w:spacing w:before="0" w:after="200"/>
              <w:jc w:val="both"/>
              <w:rPr>
                <w:rFonts w:ascii="Times New Roman;Times;serif" w:hAnsi="Times New Roman;Times;serif"/>
                <w:sz w:val="20"/>
              </w:rPr>
            </w:pPr>
            <w:r>
              <w:rPr>
                <w:rFonts w:ascii="Times New Roman;Times;serif" w:hAnsi="Times New Roman;Times;serif"/>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tc>
      </w:tr>
    </w:tbl>
    <w:tbl>
      <w:tblPr>
        <w:tblW w:w="10205" w:type="dxa"/>
        <w:jc w:val="left"/>
        <w:tblInd w:w="0" w:type="dxa"/>
        <w:tblLayout w:type="fixed"/>
        <w:tblCellMar>
          <w:top w:w="0" w:type="dxa"/>
          <w:left w:w="0" w:type="dxa"/>
          <w:bottom w:w="0" w:type="dxa"/>
          <w:right w:w="0" w:type="dxa"/>
        </w:tblCellMar>
      </w:tblPr>
      <w:tblGrid>
        <w:gridCol w:w="146"/>
        <w:gridCol w:w="10059"/>
      </w:tblGrid>
      <w:tr>
        <w:trPr/>
        <w:tc>
          <w:tcPr>
            <w:tcW w:w="146" w:type="dxa"/>
            <w:tcBorders/>
            <w:vAlign w:val="center"/>
          </w:tcPr>
          <w:p>
            <w:pPr>
              <w:pStyle w:val="TableContents"/>
              <w:bidi w:val="0"/>
              <w:spacing w:before="0" w:after="200"/>
              <w:jc w:val="both"/>
              <w:rPr>
                <w:rFonts w:ascii="Times New Roman;Times;serif" w:hAnsi="Times New Roman;Times;serif"/>
                <w:sz w:val="20"/>
              </w:rPr>
            </w:pPr>
            <w:r>
              <w:rPr>
                <w:rFonts w:ascii="Times New Roman;Times;serif" w:hAnsi="Times New Roman;Times;serif"/>
                <w:sz w:val="20"/>
              </w:rPr>
              <w:t>4)</w:t>
            </w:r>
          </w:p>
        </w:tc>
        <w:tc>
          <w:tcPr>
            <w:tcW w:w="10059" w:type="dxa"/>
            <w:tcBorders/>
            <w:vAlign w:val="center"/>
          </w:tcPr>
          <w:p>
            <w:pPr>
              <w:pStyle w:val="TableContents"/>
              <w:bidi w:val="0"/>
              <w:spacing w:before="0" w:after="200"/>
              <w:jc w:val="both"/>
              <w:rPr>
                <w:rFonts w:ascii="Times New Roman;Times;serif" w:hAnsi="Times New Roman;Times;serif"/>
                <w:sz w:val="20"/>
              </w:rPr>
            </w:pPr>
            <w:r>
              <w:rPr>
                <w:rFonts w:ascii="Times New Roman;Times;serif" w:hAnsi="Times New Roman;Times;serif"/>
                <w:sz w:val="20"/>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tc>
      </w:tr>
    </w:tbl>
    <w:tbl>
      <w:tblPr>
        <w:tblW w:w="10205" w:type="dxa"/>
        <w:jc w:val="left"/>
        <w:tblInd w:w="0" w:type="dxa"/>
        <w:tblLayout w:type="fixed"/>
        <w:tblCellMar>
          <w:top w:w="0" w:type="dxa"/>
          <w:left w:w="0" w:type="dxa"/>
          <w:bottom w:w="0" w:type="dxa"/>
          <w:right w:w="0" w:type="dxa"/>
        </w:tblCellMar>
      </w:tblPr>
      <w:tblGrid>
        <w:gridCol w:w="23"/>
        <w:gridCol w:w="129"/>
        <w:gridCol w:w="10053"/>
      </w:tblGrid>
      <w:tr>
        <w:trPr/>
        <w:tc>
          <w:tcPr>
            <w:tcW w:w="23"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00"/>
              <w:jc w:val="both"/>
              <w:rPr>
                <w:rFonts w:ascii="Times New Roman;Times;serif" w:hAnsi="Times New Roman;Times;serif"/>
                <w:sz w:val="20"/>
              </w:rPr>
            </w:pPr>
            <w:r>
              <w:rPr>
                <w:rFonts w:ascii="Times New Roman;Times;serif" w:hAnsi="Times New Roman;Times;serif"/>
                <w:sz w:val="20"/>
              </w:rPr>
              <w:t>a)</w:t>
            </w:r>
          </w:p>
        </w:tc>
        <w:tc>
          <w:tcPr>
            <w:tcW w:w="10053" w:type="dxa"/>
            <w:tcBorders/>
            <w:vAlign w:val="center"/>
          </w:tcPr>
          <w:p>
            <w:pPr>
              <w:pStyle w:val="TableContents"/>
              <w:bidi w:val="0"/>
              <w:spacing w:before="0" w:after="200"/>
              <w:jc w:val="both"/>
              <w:rPr>
                <w:rFonts w:ascii="Times New Roman;Times;serif" w:hAnsi="Times New Roman;Times;serif"/>
                <w:sz w:val="20"/>
              </w:rPr>
            </w:pPr>
            <w:r>
              <w:rPr>
                <w:rFonts w:ascii="Times New Roman;Times;serif" w:hAnsi="Times New Roman;Times;serif"/>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tc>
      </w:tr>
    </w:tbl>
    <w:tbl>
      <w:tblPr>
        <w:tblW w:w="10205" w:type="dxa"/>
        <w:jc w:val="left"/>
        <w:tblInd w:w="0" w:type="dxa"/>
        <w:tblLayout w:type="fixed"/>
        <w:tblCellMar>
          <w:top w:w="0" w:type="dxa"/>
          <w:left w:w="0" w:type="dxa"/>
          <w:bottom w:w="0" w:type="dxa"/>
          <w:right w:w="0" w:type="dxa"/>
        </w:tblCellMar>
      </w:tblPr>
      <w:tblGrid>
        <w:gridCol w:w="23"/>
        <w:gridCol w:w="144"/>
        <w:gridCol w:w="10038"/>
      </w:tblGrid>
      <w:tr>
        <w:trPr/>
        <w:tc>
          <w:tcPr>
            <w:tcW w:w="23"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00"/>
              <w:jc w:val="both"/>
              <w:rPr>
                <w:rFonts w:ascii="Times New Roman;Times;serif" w:hAnsi="Times New Roman;Times;serif"/>
                <w:sz w:val="20"/>
              </w:rPr>
            </w:pPr>
            <w:r>
              <w:rPr>
                <w:rFonts w:ascii="Times New Roman;Times;serif" w:hAnsi="Times New Roman;Times;serif"/>
                <w:sz w:val="20"/>
              </w:rPr>
              <w:t>b)</w:t>
            </w:r>
          </w:p>
        </w:tc>
        <w:tc>
          <w:tcPr>
            <w:tcW w:w="10038" w:type="dxa"/>
            <w:tcBorders/>
            <w:vAlign w:val="center"/>
          </w:tcPr>
          <w:p>
            <w:pPr>
              <w:pStyle w:val="TableContents"/>
              <w:bidi w:val="0"/>
              <w:spacing w:before="0" w:after="200"/>
              <w:jc w:val="both"/>
              <w:rPr>
                <w:rFonts w:ascii="Times New Roman;Times;serif" w:hAnsi="Times New Roman;Times;serif"/>
                <w:sz w:val="20"/>
              </w:rPr>
            </w:pPr>
            <w:r>
              <w:rPr>
                <w:rFonts w:ascii="Times New Roman;Times;serif" w:hAnsi="Times New Roman;Times;serif"/>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tc>
      </w:tr>
    </w:tbl>
    <w:tbl>
      <w:tblPr>
        <w:tblW w:w="10205" w:type="dxa"/>
        <w:jc w:val="left"/>
        <w:tblInd w:w="0" w:type="dxa"/>
        <w:tblLayout w:type="fixed"/>
        <w:tblCellMar>
          <w:top w:w="0" w:type="dxa"/>
          <w:left w:w="0" w:type="dxa"/>
          <w:bottom w:w="0" w:type="dxa"/>
          <w:right w:w="0" w:type="dxa"/>
        </w:tblCellMar>
      </w:tblPr>
      <w:tblGrid>
        <w:gridCol w:w="23"/>
        <w:gridCol w:w="135"/>
        <w:gridCol w:w="10047"/>
      </w:tblGrid>
      <w:tr>
        <w:trPr/>
        <w:tc>
          <w:tcPr>
            <w:tcW w:w="23"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00"/>
              <w:jc w:val="both"/>
              <w:rPr>
                <w:rFonts w:ascii="Times New Roman;Times;serif" w:hAnsi="Times New Roman;Times;serif"/>
                <w:sz w:val="20"/>
              </w:rPr>
            </w:pPr>
            <w:r>
              <w:rPr>
                <w:rFonts w:ascii="Times New Roman;Times;serif" w:hAnsi="Times New Roman;Times;serif"/>
                <w:sz w:val="20"/>
              </w:rPr>
              <w:t>c)</w:t>
            </w:r>
          </w:p>
        </w:tc>
        <w:tc>
          <w:tcPr>
            <w:tcW w:w="10047" w:type="dxa"/>
            <w:tcBorders/>
            <w:vAlign w:val="center"/>
          </w:tcPr>
          <w:p>
            <w:pPr>
              <w:pStyle w:val="TableContents"/>
              <w:bidi w:val="0"/>
              <w:spacing w:before="0" w:after="200"/>
              <w:jc w:val="both"/>
              <w:rPr>
                <w:rFonts w:ascii="Times New Roman;Times;serif" w:hAnsi="Times New Roman;Times;serif"/>
                <w:sz w:val="20"/>
              </w:rPr>
            </w:pPr>
            <w:r>
              <w:rPr>
                <w:rFonts w:ascii="Times New Roman;Times;serif" w:hAnsi="Times New Roman;Times;serif"/>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tc>
      </w:tr>
    </w:tbl>
    <w:tbl>
      <w:tblPr>
        <w:tblW w:w="10205" w:type="dxa"/>
        <w:jc w:val="left"/>
        <w:tblInd w:w="0" w:type="dxa"/>
        <w:tblLayout w:type="fixed"/>
        <w:tblCellMar>
          <w:top w:w="0" w:type="dxa"/>
          <w:left w:w="0" w:type="dxa"/>
          <w:bottom w:w="0" w:type="dxa"/>
          <w:right w:w="0" w:type="dxa"/>
        </w:tblCellMar>
      </w:tblPr>
      <w:tblGrid>
        <w:gridCol w:w="23"/>
        <w:gridCol w:w="144"/>
        <w:gridCol w:w="10038"/>
      </w:tblGrid>
      <w:tr>
        <w:trPr/>
        <w:tc>
          <w:tcPr>
            <w:tcW w:w="23"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00"/>
              <w:jc w:val="both"/>
              <w:rPr>
                <w:rFonts w:ascii="Times New Roman;Times;serif" w:hAnsi="Times New Roman;Times;serif"/>
                <w:sz w:val="20"/>
              </w:rPr>
            </w:pPr>
            <w:r>
              <w:rPr>
                <w:rFonts w:ascii="Times New Roman;Times;serif" w:hAnsi="Times New Roman;Times;serif"/>
                <w:sz w:val="20"/>
              </w:rPr>
              <w:t>d)</w:t>
            </w:r>
          </w:p>
        </w:tc>
        <w:tc>
          <w:tcPr>
            <w:tcW w:w="10038" w:type="dxa"/>
            <w:tcBorders/>
            <w:vAlign w:val="center"/>
          </w:tcPr>
          <w:p>
            <w:pPr>
              <w:pStyle w:val="TableContents"/>
              <w:bidi w:val="0"/>
              <w:spacing w:before="0" w:after="200"/>
              <w:jc w:val="both"/>
              <w:rPr>
                <w:rFonts w:ascii="Times New Roman;Times;serif" w:hAnsi="Times New Roman;Times;serif"/>
                <w:sz w:val="20"/>
              </w:rPr>
            </w:pPr>
            <w:r>
              <w:rPr>
                <w:rFonts w:ascii="Times New Roman;Times;serif" w:hAnsi="Times New Roman;Times;serif"/>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tc>
      </w:tr>
    </w:tbl>
    <w:tbl>
      <w:tblPr>
        <w:tblW w:w="10205" w:type="dxa"/>
        <w:jc w:val="left"/>
        <w:tblInd w:w="0" w:type="dxa"/>
        <w:tblLayout w:type="fixed"/>
        <w:tblCellMar>
          <w:top w:w="0" w:type="dxa"/>
          <w:left w:w="0" w:type="dxa"/>
          <w:bottom w:w="0" w:type="dxa"/>
          <w:right w:w="0" w:type="dxa"/>
        </w:tblCellMar>
      </w:tblPr>
      <w:tblGrid>
        <w:gridCol w:w="150"/>
        <w:gridCol w:w="10055"/>
      </w:tblGrid>
      <w:tr>
        <w:trPr/>
        <w:tc>
          <w:tcPr>
            <w:tcW w:w="150" w:type="dxa"/>
            <w:tcBorders/>
            <w:vAlign w:val="center"/>
          </w:tcPr>
          <w:p>
            <w:pPr>
              <w:pStyle w:val="TableContents"/>
              <w:bidi w:val="0"/>
              <w:spacing w:before="0" w:after="200"/>
              <w:jc w:val="both"/>
              <w:rPr>
                <w:rFonts w:ascii="Times New Roman;Times;serif" w:hAnsi="Times New Roman;Times;serif"/>
                <w:sz w:val="20"/>
              </w:rPr>
            </w:pPr>
            <w:r>
              <w:rPr>
                <w:rFonts w:ascii="Times New Roman;Times;serif" w:hAnsi="Times New Roman;Times;serif"/>
                <w:sz w:val="20"/>
              </w:rPr>
              <w:t>5)</w:t>
            </w:r>
          </w:p>
        </w:tc>
        <w:tc>
          <w:tcPr>
            <w:tcW w:w="10055" w:type="dxa"/>
            <w:tcBorders/>
            <w:vAlign w:val="center"/>
          </w:tcPr>
          <w:p>
            <w:pPr>
              <w:pStyle w:val="TableContents"/>
              <w:bidi w:val="0"/>
              <w:spacing w:before="0" w:after="200"/>
              <w:jc w:val="both"/>
              <w:rPr>
                <w:rFonts w:ascii="Times New Roman;Times;serif" w:hAnsi="Times New Roman;Times;serif"/>
                <w:sz w:val="20"/>
              </w:rPr>
            </w:pPr>
            <w:r>
              <w:rPr>
                <w:rFonts w:ascii="Times New Roman;Times;serif" w:hAnsi="Times New Roman;Times;serif"/>
                <w:sz w:val="20"/>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tc>
      </w:tr>
    </w:tbl>
    <w:tbl>
      <w:tblPr>
        <w:tblW w:w="10205" w:type="dxa"/>
        <w:jc w:val="left"/>
        <w:tblInd w:w="0" w:type="dxa"/>
        <w:tblLayout w:type="fixed"/>
        <w:tblCellMar>
          <w:top w:w="0" w:type="dxa"/>
          <w:left w:w="0" w:type="dxa"/>
          <w:bottom w:w="0" w:type="dxa"/>
          <w:right w:w="0" w:type="dxa"/>
        </w:tblCellMar>
      </w:tblPr>
      <w:tblGrid>
        <w:gridCol w:w="23"/>
        <w:gridCol w:w="137"/>
        <w:gridCol w:w="10045"/>
      </w:tblGrid>
      <w:tr>
        <w:trPr/>
        <w:tc>
          <w:tcPr>
            <w:tcW w:w="23"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00"/>
              <w:jc w:val="both"/>
              <w:rPr>
                <w:rFonts w:ascii="Times New Roman;Times;serif" w:hAnsi="Times New Roman;Times;serif"/>
                <w:sz w:val="20"/>
              </w:rPr>
            </w:pPr>
            <w:r>
              <w:rPr>
                <w:rFonts w:ascii="Times New Roman;Times;serif" w:hAnsi="Times New Roman;Times;serif"/>
                <w:sz w:val="20"/>
              </w:rPr>
              <w:t>a)</w:t>
            </w:r>
          </w:p>
        </w:tc>
        <w:tc>
          <w:tcPr>
            <w:tcW w:w="10045" w:type="dxa"/>
            <w:tcBorders/>
            <w:vAlign w:val="center"/>
          </w:tcPr>
          <w:p>
            <w:pPr>
              <w:pStyle w:val="TableContents"/>
              <w:bidi w:val="0"/>
              <w:spacing w:before="0" w:after="200"/>
              <w:jc w:val="both"/>
              <w:rPr>
                <w:rFonts w:ascii="Times New Roman;Times;serif" w:hAnsi="Times New Roman;Times;serif"/>
                <w:sz w:val="20"/>
              </w:rPr>
            </w:pPr>
            <w:r>
              <w:rPr>
                <w:rFonts w:ascii="Times New Roman;Times;serif" w:hAnsi="Times New Roman;Times;serif"/>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tc>
      </w:tr>
    </w:tbl>
    <w:tbl>
      <w:tblPr>
        <w:tblW w:w="10205" w:type="dxa"/>
        <w:jc w:val="left"/>
        <w:tblInd w:w="0" w:type="dxa"/>
        <w:tblLayout w:type="fixed"/>
        <w:tblCellMar>
          <w:top w:w="0" w:type="dxa"/>
          <w:left w:w="0" w:type="dxa"/>
          <w:bottom w:w="0" w:type="dxa"/>
          <w:right w:w="0" w:type="dxa"/>
        </w:tblCellMar>
      </w:tblPr>
      <w:tblGrid>
        <w:gridCol w:w="23"/>
        <w:gridCol w:w="167"/>
        <w:gridCol w:w="10015"/>
      </w:tblGrid>
      <w:tr>
        <w:trPr/>
        <w:tc>
          <w:tcPr>
            <w:tcW w:w="23"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00"/>
              <w:jc w:val="both"/>
              <w:rPr>
                <w:rFonts w:ascii="Times New Roman;Times;serif" w:hAnsi="Times New Roman;Times;serif"/>
                <w:sz w:val="20"/>
              </w:rPr>
            </w:pPr>
            <w:r>
              <w:rPr>
                <w:rFonts w:ascii="Times New Roman;Times;serif" w:hAnsi="Times New Roman;Times;serif"/>
                <w:sz w:val="20"/>
              </w:rPr>
              <w:t>b)</w:t>
            </w:r>
          </w:p>
        </w:tc>
        <w:tc>
          <w:tcPr>
            <w:tcW w:w="10015" w:type="dxa"/>
            <w:tcBorders/>
            <w:vAlign w:val="center"/>
          </w:tcPr>
          <w:p>
            <w:pPr>
              <w:pStyle w:val="TableContents"/>
              <w:bidi w:val="0"/>
              <w:spacing w:before="0" w:after="200"/>
              <w:jc w:val="both"/>
              <w:rPr>
                <w:rFonts w:ascii="Times New Roman;Times;serif" w:hAnsi="Times New Roman;Times;serif"/>
                <w:sz w:val="20"/>
              </w:rPr>
            </w:pPr>
            <w:r>
              <w:rPr>
                <w:rFonts w:ascii="Times New Roman;Times;serif" w:hAnsi="Times New Roman;Times;serif"/>
                <w:sz w:val="20"/>
              </w:rPr>
              <w:t>Any fraud, whether or not material, that involves management or other employees who have a significant role in the registrant’s internal control over financial reporting.</w:t>
            </w:r>
          </w:p>
        </w:tc>
      </w:tr>
    </w:tbl>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Date: May 6, 2026</w:t>
      </w:r>
    </w:p>
    <w:p>
      <w:pPr>
        <w:pStyle w:val="TextBody"/>
        <w:bidi w:val="0"/>
        <w:spacing w:before="0" w:after="0"/>
        <w:ind w:left="0" w:right="0" w:hanging="0"/>
        <w:jc w:val="left"/>
        <w:rPr/>
      </w:pPr>
      <w:r>
        <w:rPr/>
        <w:t>​</w:t>
      </w:r>
    </w:p>
    <w:tbl>
      <w:tblPr>
        <w:tblW w:w="3335" w:type="dxa"/>
        <w:jc w:val="center"/>
        <w:tblInd w:w="0" w:type="dxa"/>
        <w:tblLayout w:type="fixed"/>
        <w:tblCellMar>
          <w:top w:w="0" w:type="dxa"/>
          <w:left w:w="0" w:type="dxa"/>
          <w:bottom w:w="28" w:type="dxa"/>
          <w:right w:w="0" w:type="dxa"/>
        </w:tblCellMar>
      </w:tblPr>
      <w:tblGrid>
        <w:gridCol w:w="3181"/>
        <w:gridCol w:w="154"/>
      </w:tblGrid>
      <w:tr>
        <w:trPr/>
        <w:tc>
          <w:tcPr>
            <w:tcW w:w="3181" w:type="dxa"/>
            <w:tcBorders>
              <w:bottom w:val="single" w:sz="2" w:space="0" w:color="000000"/>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/s/Courtney J. Riley</w:t>
            </w:r>
          </w:p>
        </w:tc>
        <w:tc>
          <w:tcPr>
            <w:tcW w:w="154" w:type="dxa"/>
            <w:tcBorders/>
            <w:tcMar>
              <w:bottom w:w="0" w:type="dxa"/>
            </w:tcMar>
            <w:vAlign w:val="center"/>
          </w:tcPr>
          <w:p>
            <w:pPr>
              <w:pStyle w:val="TableContents"/>
              <w:bidi w:val="0"/>
              <w:spacing w:before="0" w:after="0"/>
              <w:ind w:left="0" w:right="0" w:hanging="0"/>
              <w:jc w:val="left"/>
              <w:rPr/>
            </w:pPr>
            <w:r>
              <w:rPr/>
              <w:t>​</w:t>
            </w:r>
          </w:p>
        </w:tc>
      </w:tr>
      <w:tr>
        <w:trPr/>
        <w:tc>
          <w:tcPr>
            <w:tcW w:w="3181" w:type="dxa"/>
            <w:tcBorders>
              <w:top w:val="single" w:sz="2" w:space="0" w:color="000000"/>
            </w:tcBorders>
            <w:tcMar>
              <w:top w:w="28" w:type="dxa"/>
              <w:bottom w:w="0"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Courtney J. Riley</w:t>
            </w:r>
          </w:p>
        </w:tc>
        <w:tc>
          <w:tcPr>
            <w:tcW w:w="154" w:type="dxa"/>
            <w:tcBorders/>
            <w:tcMar>
              <w:bottom w:w="0" w:type="dxa"/>
            </w:tcMar>
            <w:vAlign w:val="center"/>
          </w:tcPr>
          <w:p>
            <w:pPr>
              <w:pStyle w:val="TableContents"/>
              <w:bidi w:val="0"/>
              <w:spacing w:before="0" w:after="0"/>
              <w:ind w:left="0" w:right="0" w:hanging="0"/>
              <w:jc w:val="left"/>
              <w:rPr/>
            </w:pPr>
            <w:r>
              <w:rPr/>
              <w:t>​</w:t>
            </w:r>
          </w:p>
        </w:tc>
      </w:tr>
      <w:tr>
        <w:trPr/>
        <w:tc>
          <w:tcPr>
            <w:tcW w:w="3181" w:type="dxa"/>
            <w:tcBorders/>
            <w:tcMar>
              <w:bottom w:w="0"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President and Chief Executive Officer</w:t>
            </w:r>
          </w:p>
        </w:tc>
        <w:tc>
          <w:tcPr>
            <w:tcW w:w="154" w:type="dxa"/>
            <w:tcBorders/>
            <w:tcMar>
              <w:bottom w:w="0" w:type="dxa"/>
            </w:tcMar>
            <w:vAlign w:val="center"/>
          </w:tcPr>
          <w:p>
            <w:pPr>
              <w:pStyle w:val="TableContents"/>
              <w:bidi w:val="0"/>
              <w:spacing w:before="0" w:after="0"/>
              <w:ind w:left="0" w:right="0" w:hanging="0"/>
              <w:jc w:val="left"/>
              <w:rPr/>
            </w:pPr>
            <w:r>
              <w:rPr/>
              <w:t>​</w:t>
            </w:r>
          </w:p>
        </w:tc>
      </w:tr>
    </w:tbl>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200"/>
        <w:ind w:left="0" w:right="0" w:hanging="0"/>
        <w:jc w:val="right"/>
        <w:rPr>
          <w:rFonts w:ascii="Times New Roman;Times;serif" w:hAnsi="Times New Roman;Times;serif"/>
          <w:b/>
          <w:sz w:val="20"/>
        </w:rPr>
      </w:pPr>
      <w:bookmarkStart w:id="846" w:name="nl-20260331xex31d2.htm"/>
      <w:bookmarkStart w:id="847" w:name="ksnl20260331xex31d2"/>
      <w:bookmarkEnd w:id="846"/>
      <w:bookmarkEnd w:id="847"/>
      <w:r>
        <w:rPr>
          <w:rFonts w:ascii="Times New Roman;Times;serif" w:hAnsi="Times New Roman;Times;serif"/>
          <w:b/>
          <w:sz w:val="20"/>
        </w:rPr>
        <w:t>EXHIBIT 31.2</w:t>
      </w:r>
      <w:r>
        <w:br w:type="page"/>
      </w:r>
    </w:p>
    <w:p>
      <w:pPr>
        <w:pStyle w:val="TextBody"/>
        <w:bidi w:val="0"/>
        <w:spacing w:before="0" w:after="200"/>
        <w:ind w:left="0" w:right="0" w:hanging="0"/>
        <w:jc w:val="center"/>
        <w:rPr>
          <w:rFonts w:ascii="Times New Roman;Times;serif" w:hAnsi="Times New Roman;Times;serif"/>
          <w:b/>
          <w:sz w:val="20"/>
        </w:rPr>
      </w:pPr>
      <w:r>
        <w:rPr>
          <w:rFonts w:ascii="Times New Roman;Times;serif" w:hAnsi="Times New Roman;Times;serif"/>
          <w:b/>
          <w:sz w:val="20"/>
        </w:rPr>
        <w:t>CERTIFICATION</w:t>
      </w:r>
    </w:p>
    <w:p>
      <w:pPr>
        <w:pStyle w:val="TextBody"/>
        <w:bidi w:val="0"/>
        <w:spacing w:before="0" w:after="200"/>
        <w:ind w:left="0" w:right="0" w:hanging="0"/>
        <w:jc w:val="both"/>
        <w:rPr>
          <w:rFonts w:ascii="Times New Roman;Times;serif" w:hAnsi="Times New Roman;Times;serif"/>
          <w:sz w:val="20"/>
        </w:rPr>
      </w:pPr>
      <w:r>
        <w:rPr>
          <w:rFonts w:ascii="Times New Roman;Times;serif" w:hAnsi="Times New Roman;Times;serif"/>
          <w:sz w:val="20"/>
        </w:rPr>
        <w:t>I, Amy Allbach Samford, certify that:</w:t>
      </w:r>
    </w:p>
    <w:tbl>
      <w:tblPr>
        <w:tblW w:w="6100" w:type="dxa"/>
        <w:jc w:val="left"/>
        <w:tblInd w:w="0" w:type="dxa"/>
        <w:tblLayout w:type="fixed"/>
        <w:tblCellMar>
          <w:top w:w="0" w:type="dxa"/>
          <w:left w:w="0" w:type="dxa"/>
          <w:bottom w:w="0" w:type="dxa"/>
          <w:right w:w="0" w:type="dxa"/>
        </w:tblCellMar>
      </w:tblPr>
      <w:tblGrid>
        <w:gridCol w:w="185"/>
        <w:gridCol w:w="5915"/>
      </w:tblGrid>
      <w:tr>
        <w:trPr/>
        <w:tc>
          <w:tcPr>
            <w:tcW w:w="185" w:type="dxa"/>
            <w:tcBorders/>
            <w:vAlign w:val="center"/>
          </w:tcPr>
          <w:p>
            <w:pPr>
              <w:pStyle w:val="TableContents"/>
              <w:bidi w:val="0"/>
              <w:spacing w:before="0" w:after="200"/>
              <w:jc w:val="both"/>
              <w:rPr>
                <w:rFonts w:ascii="Times New Roman;Times;serif" w:hAnsi="Times New Roman;Times;serif"/>
                <w:sz w:val="20"/>
              </w:rPr>
            </w:pPr>
            <w:r>
              <w:rPr>
                <w:rFonts w:ascii="Times New Roman;Times;serif" w:hAnsi="Times New Roman;Times;serif"/>
                <w:sz w:val="20"/>
              </w:rPr>
              <w:t>1)</w:t>
            </w:r>
          </w:p>
        </w:tc>
        <w:tc>
          <w:tcPr>
            <w:tcW w:w="5915" w:type="dxa"/>
            <w:tcBorders/>
            <w:vAlign w:val="center"/>
          </w:tcPr>
          <w:p>
            <w:pPr>
              <w:pStyle w:val="TableContents"/>
              <w:bidi w:val="0"/>
              <w:spacing w:before="0" w:after="200"/>
              <w:jc w:val="both"/>
              <w:rPr>
                <w:rFonts w:ascii="Times New Roman;Times;serif" w:hAnsi="Times New Roman;Times;serif"/>
                <w:sz w:val="20"/>
              </w:rPr>
            </w:pPr>
            <w:r>
              <w:rPr>
                <w:rFonts w:ascii="Times New Roman;Times;serif" w:hAnsi="Times New Roman;Times;serif"/>
                <w:sz w:val="20"/>
              </w:rPr>
              <w:t>I have reviewed this quarterly report on Form 10-Q of NL Industries, Inc.;</w:t>
            </w:r>
          </w:p>
        </w:tc>
      </w:tr>
    </w:tbl>
    <w:tbl>
      <w:tblPr>
        <w:tblW w:w="10205" w:type="dxa"/>
        <w:jc w:val="left"/>
        <w:tblInd w:w="0" w:type="dxa"/>
        <w:tblLayout w:type="fixed"/>
        <w:tblCellMar>
          <w:top w:w="0" w:type="dxa"/>
          <w:left w:w="0" w:type="dxa"/>
          <w:bottom w:w="0" w:type="dxa"/>
          <w:right w:w="0" w:type="dxa"/>
        </w:tblCellMar>
      </w:tblPr>
      <w:tblGrid>
        <w:gridCol w:w="148"/>
        <w:gridCol w:w="10057"/>
      </w:tblGrid>
      <w:tr>
        <w:trPr/>
        <w:tc>
          <w:tcPr>
            <w:tcW w:w="148" w:type="dxa"/>
            <w:tcBorders/>
            <w:vAlign w:val="center"/>
          </w:tcPr>
          <w:p>
            <w:pPr>
              <w:pStyle w:val="TableContents"/>
              <w:bidi w:val="0"/>
              <w:spacing w:before="0" w:after="200"/>
              <w:jc w:val="both"/>
              <w:rPr>
                <w:rFonts w:ascii="Times New Roman;Times;serif" w:hAnsi="Times New Roman;Times;serif"/>
                <w:sz w:val="20"/>
              </w:rPr>
            </w:pPr>
            <w:r>
              <w:rPr>
                <w:rFonts w:ascii="Times New Roman;Times;serif" w:hAnsi="Times New Roman;Times;serif"/>
                <w:sz w:val="20"/>
              </w:rPr>
              <w:t>2)</w:t>
            </w:r>
          </w:p>
        </w:tc>
        <w:tc>
          <w:tcPr>
            <w:tcW w:w="10057" w:type="dxa"/>
            <w:tcBorders/>
            <w:vAlign w:val="center"/>
          </w:tcPr>
          <w:p>
            <w:pPr>
              <w:pStyle w:val="TableContents"/>
              <w:bidi w:val="0"/>
              <w:spacing w:before="0" w:after="200"/>
              <w:jc w:val="both"/>
              <w:rPr>
                <w:rFonts w:ascii="Times New Roman;Times;serif" w:hAnsi="Times New Roman;Times;serif"/>
                <w:sz w:val="20"/>
              </w:rPr>
            </w:pPr>
            <w:r>
              <w:rPr>
                <w:rFonts w:ascii="Times New Roman;Times;serif" w:hAnsi="Times New Roman;Times;serif"/>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tc>
      </w:tr>
    </w:tbl>
    <w:tbl>
      <w:tblPr>
        <w:tblW w:w="10205" w:type="dxa"/>
        <w:jc w:val="left"/>
        <w:tblInd w:w="0" w:type="dxa"/>
        <w:tblLayout w:type="fixed"/>
        <w:tblCellMar>
          <w:top w:w="0" w:type="dxa"/>
          <w:left w:w="0" w:type="dxa"/>
          <w:bottom w:w="0" w:type="dxa"/>
          <w:right w:w="0" w:type="dxa"/>
        </w:tblCellMar>
      </w:tblPr>
      <w:tblGrid>
        <w:gridCol w:w="151"/>
        <w:gridCol w:w="10054"/>
      </w:tblGrid>
      <w:tr>
        <w:trPr/>
        <w:tc>
          <w:tcPr>
            <w:tcW w:w="151" w:type="dxa"/>
            <w:tcBorders/>
            <w:vAlign w:val="center"/>
          </w:tcPr>
          <w:p>
            <w:pPr>
              <w:pStyle w:val="TableContents"/>
              <w:bidi w:val="0"/>
              <w:spacing w:before="0" w:after="200"/>
              <w:jc w:val="both"/>
              <w:rPr>
                <w:rFonts w:ascii="Times New Roman;Times;serif" w:hAnsi="Times New Roman;Times;serif"/>
                <w:sz w:val="20"/>
              </w:rPr>
            </w:pPr>
            <w:r>
              <w:rPr>
                <w:rFonts w:ascii="Times New Roman;Times;serif" w:hAnsi="Times New Roman;Times;serif"/>
                <w:sz w:val="20"/>
              </w:rPr>
              <w:t>3)</w:t>
            </w:r>
          </w:p>
        </w:tc>
        <w:tc>
          <w:tcPr>
            <w:tcW w:w="10054" w:type="dxa"/>
            <w:tcBorders/>
            <w:vAlign w:val="center"/>
          </w:tcPr>
          <w:p>
            <w:pPr>
              <w:pStyle w:val="TableContents"/>
              <w:bidi w:val="0"/>
              <w:spacing w:before="0" w:after="200"/>
              <w:jc w:val="both"/>
              <w:rPr>
                <w:rFonts w:ascii="Times New Roman;Times;serif" w:hAnsi="Times New Roman;Times;serif"/>
                <w:sz w:val="20"/>
              </w:rPr>
            </w:pPr>
            <w:r>
              <w:rPr>
                <w:rFonts w:ascii="Times New Roman;Times;serif" w:hAnsi="Times New Roman;Times;serif"/>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tc>
      </w:tr>
    </w:tbl>
    <w:tbl>
      <w:tblPr>
        <w:tblW w:w="10205" w:type="dxa"/>
        <w:jc w:val="left"/>
        <w:tblInd w:w="0" w:type="dxa"/>
        <w:tblLayout w:type="fixed"/>
        <w:tblCellMar>
          <w:top w:w="0" w:type="dxa"/>
          <w:left w:w="0" w:type="dxa"/>
          <w:bottom w:w="0" w:type="dxa"/>
          <w:right w:w="0" w:type="dxa"/>
        </w:tblCellMar>
      </w:tblPr>
      <w:tblGrid>
        <w:gridCol w:w="146"/>
        <w:gridCol w:w="10059"/>
      </w:tblGrid>
      <w:tr>
        <w:trPr/>
        <w:tc>
          <w:tcPr>
            <w:tcW w:w="146" w:type="dxa"/>
            <w:tcBorders/>
            <w:vAlign w:val="center"/>
          </w:tcPr>
          <w:p>
            <w:pPr>
              <w:pStyle w:val="TableContents"/>
              <w:bidi w:val="0"/>
              <w:spacing w:before="0" w:after="200"/>
              <w:jc w:val="both"/>
              <w:rPr>
                <w:rFonts w:ascii="Times New Roman;Times;serif" w:hAnsi="Times New Roman;Times;serif"/>
                <w:sz w:val="20"/>
              </w:rPr>
            </w:pPr>
            <w:r>
              <w:rPr>
                <w:rFonts w:ascii="Times New Roman;Times;serif" w:hAnsi="Times New Roman;Times;serif"/>
                <w:sz w:val="20"/>
              </w:rPr>
              <w:t>4)</w:t>
            </w:r>
          </w:p>
        </w:tc>
        <w:tc>
          <w:tcPr>
            <w:tcW w:w="10059" w:type="dxa"/>
            <w:tcBorders/>
            <w:vAlign w:val="center"/>
          </w:tcPr>
          <w:p>
            <w:pPr>
              <w:pStyle w:val="TableContents"/>
              <w:bidi w:val="0"/>
              <w:spacing w:before="0" w:after="200"/>
              <w:jc w:val="both"/>
              <w:rPr>
                <w:rFonts w:ascii="Times New Roman;Times;serif" w:hAnsi="Times New Roman;Times;serif"/>
                <w:sz w:val="20"/>
              </w:rPr>
            </w:pPr>
            <w:r>
              <w:rPr>
                <w:rFonts w:ascii="Times New Roman;Times;serif" w:hAnsi="Times New Roman;Times;serif"/>
                <w:sz w:val="20"/>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tc>
      </w:tr>
    </w:tbl>
    <w:tbl>
      <w:tblPr>
        <w:tblW w:w="10205" w:type="dxa"/>
        <w:jc w:val="left"/>
        <w:tblInd w:w="0" w:type="dxa"/>
        <w:tblLayout w:type="fixed"/>
        <w:tblCellMar>
          <w:top w:w="0" w:type="dxa"/>
          <w:left w:w="0" w:type="dxa"/>
          <w:bottom w:w="0" w:type="dxa"/>
          <w:right w:w="0" w:type="dxa"/>
        </w:tblCellMar>
      </w:tblPr>
      <w:tblGrid>
        <w:gridCol w:w="23"/>
        <w:gridCol w:w="129"/>
        <w:gridCol w:w="10053"/>
      </w:tblGrid>
      <w:tr>
        <w:trPr/>
        <w:tc>
          <w:tcPr>
            <w:tcW w:w="23"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00"/>
              <w:jc w:val="both"/>
              <w:rPr>
                <w:rFonts w:ascii="Times New Roman;Times;serif" w:hAnsi="Times New Roman;Times;serif"/>
                <w:sz w:val="20"/>
              </w:rPr>
            </w:pPr>
            <w:r>
              <w:rPr>
                <w:rFonts w:ascii="Times New Roman;Times;serif" w:hAnsi="Times New Roman;Times;serif"/>
                <w:sz w:val="20"/>
              </w:rPr>
              <w:t>a)</w:t>
            </w:r>
          </w:p>
        </w:tc>
        <w:tc>
          <w:tcPr>
            <w:tcW w:w="10053" w:type="dxa"/>
            <w:tcBorders/>
            <w:vAlign w:val="center"/>
          </w:tcPr>
          <w:p>
            <w:pPr>
              <w:pStyle w:val="TableContents"/>
              <w:bidi w:val="0"/>
              <w:spacing w:before="0" w:after="200"/>
              <w:jc w:val="both"/>
              <w:rPr>
                <w:rFonts w:ascii="Times New Roman;Times;serif" w:hAnsi="Times New Roman;Times;serif"/>
                <w:sz w:val="20"/>
              </w:rPr>
            </w:pPr>
            <w:r>
              <w:rPr>
                <w:rFonts w:ascii="Times New Roman;Times;serif" w:hAnsi="Times New Roman;Times;serif"/>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tc>
      </w:tr>
    </w:tbl>
    <w:tbl>
      <w:tblPr>
        <w:tblW w:w="10205" w:type="dxa"/>
        <w:jc w:val="left"/>
        <w:tblInd w:w="0" w:type="dxa"/>
        <w:tblLayout w:type="fixed"/>
        <w:tblCellMar>
          <w:top w:w="0" w:type="dxa"/>
          <w:left w:w="0" w:type="dxa"/>
          <w:bottom w:w="0" w:type="dxa"/>
          <w:right w:w="0" w:type="dxa"/>
        </w:tblCellMar>
      </w:tblPr>
      <w:tblGrid>
        <w:gridCol w:w="23"/>
        <w:gridCol w:w="144"/>
        <w:gridCol w:w="10038"/>
      </w:tblGrid>
      <w:tr>
        <w:trPr/>
        <w:tc>
          <w:tcPr>
            <w:tcW w:w="23"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00"/>
              <w:jc w:val="both"/>
              <w:rPr>
                <w:rFonts w:ascii="Times New Roman;Times;serif" w:hAnsi="Times New Roman;Times;serif"/>
                <w:sz w:val="20"/>
              </w:rPr>
            </w:pPr>
            <w:r>
              <w:rPr>
                <w:rFonts w:ascii="Times New Roman;Times;serif" w:hAnsi="Times New Roman;Times;serif"/>
                <w:sz w:val="20"/>
              </w:rPr>
              <w:t>b)</w:t>
            </w:r>
          </w:p>
        </w:tc>
        <w:tc>
          <w:tcPr>
            <w:tcW w:w="10038" w:type="dxa"/>
            <w:tcBorders/>
            <w:vAlign w:val="center"/>
          </w:tcPr>
          <w:p>
            <w:pPr>
              <w:pStyle w:val="TableContents"/>
              <w:bidi w:val="0"/>
              <w:spacing w:before="0" w:after="200"/>
              <w:jc w:val="both"/>
              <w:rPr>
                <w:rFonts w:ascii="Times New Roman;Times;serif" w:hAnsi="Times New Roman;Times;serif"/>
                <w:sz w:val="20"/>
              </w:rPr>
            </w:pPr>
            <w:r>
              <w:rPr>
                <w:rFonts w:ascii="Times New Roman;Times;serif" w:hAnsi="Times New Roman;Times;serif"/>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tc>
      </w:tr>
    </w:tbl>
    <w:tbl>
      <w:tblPr>
        <w:tblW w:w="10205" w:type="dxa"/>
        <w:jc w:val="left"/>
        <w:tblInd w:w="0" w:type="dxa"/>
        <w:tblLayout w:type="fixed"/>
        <w:tblCellMar>
          <w:top w:w="0" w:type="dxa"/>
          <w:left w:w="0" w:type="dxa"/>
          <w:bottom w:w="0" w:type="dxa"/>
          <w:right w:w="0" w:type="dxa"/>
        </w:tblCellMar>
      </w:tblPr>
      <w:tblGrid>
        <w:gridCol w:w="23"/>
        <w:gridCol w:w="135"/>
        <w:gridCol w:w="10047"/>
      </w:tblGrid>
      <w:tr>
        <w:trPr/>
        <w:tc>
          <w:tcPr>
            <w:tcW w:w="23"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00"/>
              <w:jc w:val="both"/>
              <w:rPr>
                <w:rFonts w:ascii="Times New Roman;Times;serif" w:hAnsi="Times New Roman;Times;serif"/>
                <w:sz w:val="20"/>
              </w:rPr>
            </w:pPr>
            <w:r>
              <w:rPr>
                <w:rFonts w:ascii="Times New Roman;Times;serif" w:hAnsi="Times New Roman;Times;serif"/>
                <w:sz w:val="20"/>
              </w:rPr>
              <w:t>c)</w:t>
            </w:r>
          </w:p>
        </w:tc>
        <w:tc>
          <w:tcPr>
            <w:tcW w:w="10047" w:type="dxa"/>
            <w:tcBorders/>
            <w:vAlign w:val="center"/>
          </w:tcPr>
          <w:p>
            <w:pPr>
              <w:pStyle w:val="TableContents"/>
              <w:bidi w:val="0"/>
              <w:spacing w:before="0" w:after="200"/>
              <w:jc w:val="both"/>
              <w:rPr>
                <w:rFonts w:ascii="Times New Roman;Times;serif" w:hAnsi="Times New Roman;Times;serif"/>
                <w:sz w:val="20"/>
              </w:rPr>
            </w:pPr>
            <w:r>
              <w:rPr>
                <w:rFonts w:ascii="Times New Roman;Times;serif" w:hAnsi="Times New Roman;Times;serif"/>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tc>
      </w:tr>
    </w:tbl>
    <w:tbl>
      <w:tblPr>
        <w:tblW w:w="10205" w:type="dxa"/>
        <w:jc w:val="left"/>
        <w:tblInd w:w="0" w:type="dxa"/>
        <w:tblLayout w:type="fixed"/>
        <w:tblCellMar>
          <w:top w:w="0" w:type="dxa"/>
          <w:left w:w="0" w:type="dxa"/>
          <w:bottom w:w="0" w:type="dxa"/>
          <w:right w:w="0" w:type="dxa"/>
        </w:tblCellMar>
      </w:tblPr>
      <w:tblGrid>
        <w:gridCol w:w="23"/>
        <w:gridCol w:w="144"/>
        <w:gridCol w:w="10038"/>
      </w:tblGrid>
      <w:tr>
        <w:trPr/>
        <w:tc>
          <w:tcPr>
            <w:tcW w:w="23"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00"/>
              <w:jc w:val="both"/>
              <w:rPr>
                <w:rFonts w:ascii="Times New Roman;Times;serif" w:hAnsi="Times New Roman;Times;serif"/>
                <w:sz w:val="20"/>
              </w:rPr>
            </w:pPr>
            <w:r>
              <w:rPr>
                <w:rFonts w:ascii="Times New Roman;Times;serif" w:hAnsi="Times New Roman;Times;serif"/>
                <w:sz w:val="20"/>
              </w:rPr>
              <w:t>d)</w:t>
            </w:r>
          </w:p>
        </w:tc>
        <w:tc>
          <w:tcPr>
            <w:tcW w:w="10038" w:type="dxa"/>
            <w:tcBorders/>
            <w:vAlign w:val="center"/>
          </w:tcPr>
          <w:p>
            <w:pPr>
              <w:pStyle w:val="TableContents"/>
              <w:bidi w:val="0"/>
              <w:spacing w:before="0" w:after="200"/>
              <w:jc w:val="both"/>
              <w:rPr>
                <w:rFonts w:ascii="Times New Roman;Times;serif" w:hAnsi="Times New Roman;Times;serif"/>
                <w:sz w:val="20"/>
              </w:rPr>
            </w:pPr>
            <w:r>
              <w:rPr>
                <w:rFonts w:ascii="Times New Roman;Times;serif" w:hAnsi="Times New Roman;Times;serif"/>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tc>
      </w:tr>
    </w:tbl>
    <w:tbl>
      <w:tblPr>
        <w:tblW w:w="10205" w:type="dxa"/>
        <w:jc w:val="left"/>
        <w:tblInd w:w="0" w:type="dxa"/>
        <w:tblLayout w:type="fixed"/>
        <w:tblCellMar>
          <w:top w:w="0" w:type="dxa"/>
          <w:left w:w="0" w:type="dxa"/>
          <w:bottom w:w="0" w:type="dxa"/>
          <w:right w:w="0" w:type="dxa"/>
        </w:tblCellMar>
      </w:tblPr>
      <w:tblGrid>
        <w:gridCol w:w="150"/>
        <w:gridCol w:w="10055"/>
      </w:tblGrid>
      <w:tr>
        <w:trPr/>
        <w:tc>
          <w:tcPr>
            <w:tcW w:w="150" w:type="dxa"/>
            <w:tcBorders/>
            <w:vAlign w:val="center"/>
          </w:tcPr>
          <w:p>
            <w:pPr>
              <w:pStyle w:val="TableContents"/>
              <w:bidi w:val="0"/>
              <w:spacing w:before="0" w:after="200"/>
              <w:jc w:val="both"/>
              <w:rPr>
                <w:rFonts w:ascii="Times New Roman;Times;serif" w:hAnsi="Times New Roman;Times;serif"/>
                <w:sz w:val="20"/>
              </w:rPr>
            </w:pPr>
            <w:r>
              <w:rPr>
                <w:rFonts w:ascii="Times New Roman;Times;serif" w:hAnsi="Times New Roman;Times;serif"/>
                <w:sz w:val="20"/>
              </w:rPr>
              <w:t>5)</w:t>
            </w:r>
          </w:p>
        </w:tc>
        <w:tc>
          <w:tcPr>
            <w:tcW w:w="10055" w:type="dxa"/>
            <w:tcBorders/>
            <w:vAlign w:val="center"/>
          </w:tcPr>
          <w:p>
            <w:pPr>
              <w:pStyle w:val="TableContents"/>
              <w:bidi w:val="0"/>
              <w:spacing w:before="0" w:after="200"/>
              <w:jc w:val="both"/>
              <w:rPr>
                <w:rFonts w:ascii="Times New Roman;Times;serif" w:hAnsi="Times New Roman;Times;serif"/>
                <w:sz w:val="20"/>
              </w:rPr>
            </w:pPr>
            <w:r>
              <w:rPr>
                <w:rFonts w:ascii="Times New Roman;Times;serif" w:hAnsi="Times New Roman;Times;serif"/>
                <w:sz w:val="20"/>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tc>
      </w:tr>
    </w:tbl>
    <w:tbl>
      <w:tblPr>
        <w:tblW w:w="10205" w:type="dxa"/>
        <w:jc w:val="left"/>
        <w:tblInd w:w="0" w:type="dxa"/>
        <w:tblLayout w:type="fixed"/>
        <w:tblCellMar>
          <w:top w:w="0" w:type="dxa"/>
          <w:left w:w="0" w:type="dxa"/>
          <w:bottom w:w="0" w:type="dxa"/>
          <w:right w:w="0" w:type="dxa"/>
        </w:tblCellMar>
      </w:tblPr>
      <w:tblGrid>
        <w:gridCol w:w="23"/>
        <w:gridCol w:w="137"/>
        <w:gridCol w:w="10045"/>
      </w:tblGrid>
      <w:tr>
        <w:trPr/>
        <w:tc>
          <w:tcPr>
            <w:tcW w:w="23"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00"/>
              <w:jc w:val="both"/>
              <w:rPr>
                <w:rFonts w:ascii="Times New Roman;Times;serif" w:hAnsi="Times New Roman;Times;serif"/>
                <w:sz w:val="20"/>
              </w:rPr>
            </w:pPr>
            <w:r>
              <w:rPr>
                <w:rFonts w:ascii="Times New Roman;Times;serif" w:hAnsi="Times New Roman;Times;serif"/>
                <w:sz w:val="20"/>
              </w:rPr>
              <w:t>a)</w:t>
            </w:r>
          </w:p>
        </w:tc>
        <w:tc>
          <w:tcPr>
            <w:tcW w:w="10045" w:type="dxa"/>
            <w:tcBorders/>
            <w:vAlign w:val="center"/>
          </w:tcPr>
          <w:p>
            <w:pPr>
              <w:pStyle w:val="TableContents"/>
              <w:bidi w:val="0"/>
              <w:spacing w:before="0" w:after="200"/>
              <w:jc w:val="both"/>
              <w:rPr>
                <w:rFonts w:ascii="Times New Roman;Times;serif" w:hAnsi="Times New Roman;Times;serif"/>
                <w:sz w:val="20"/>
              </w:rPr>
            </w:pPr>
            <w:r>
              <w:rPr>
                <w:rFonts w:ascii="Times New Roman;Times;serif" w:hAnsi="Times New Roman;Times;serif"/>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tc>
      </w:tr>
    </w:tbl>
    <w:tbl>
      <w:tblPr>
        <w:tblW w:w="10205" w:type="dxa"/>
        <w:jc w:val="left"/>
        <w:tblInd w:w="0" w:type="dxa"/>
        <w:tblLayout w:type="fixed"/>
        <w:tblCellMar>
          <w:top w:w="0" w:type="dxa"/>
          <w:left w:w="0" w:type="dxa"/>
          <w:bottom w:w="0" w:type="dxa"/>
          <w:right w:w="0" w:type="dxa"/>
        </w:tblCellMar>
      </w:tblPr>
      <w:tblGrid>
        <w:gridCol w:w="23"/>
        <w:gridCol w:w="167"/>
        <w:gridCol w:w="10015"/>
      </w:tblGrid>
      <w:tr>
        <w:trPr/>
        <w:tc>
          <w:tcPr>
            <w:tcW w:w="23"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00"/>
              <w:jc w:val="both"/>
              <w:rPr>
                <w:rFonts w:ascii="Times New Roman;Times;serif" w:hAnsi="Times New Roman;Times;serif"/>
                <w:sz w:val="20"/>
              </w:rPr>
            </w:pPr>
            <w:r>
              <w:rPr>
                <w:rFonts w:ascii="Times New Roman;Times;serif" w:hAnsi="Times New Roman;Times;serif"/>
                <w:sz w:val="20"/>
              </w:rPr>
              <w:t>b)</w:t>
            </w:r>
          </w:p>
        </w:tc>
        <w:tc>
          <w:tcPr>
            <w:tcW w:w="10015" w:type="dxa"/>
            <w:tcBorders/>
            <w:vAlign w:val="center"/>
          </w:tcPr>
          <w:p>
            <w:pPr>
              <w:pStyle w:val="TableContents"/>
              <w:bidi w:val="0"/>
              <w:spacing w:before="0" w:after="200"/>
              <w:jc w:val="both"/>
              <w:rPr>
                <w:rFonts w:ascii="Times New Roman;Times;serif" w:hAnsi="Times New Roman;Times;serif"/>
                <w:sz w:val="20"/>
              </w:rPr>
            </w:pPr>
            <w:r>
              <w:rPr>
                <w:rFonts w:ascii="Times New Roman;Times;serif" w:hAnsi="Times New Roman;Times;serif"/>
                <w:sz w:val="20"/>
              </w:rPr>
              <w:t>Any fraud, whether or not material, that involves management or other employees who have a significant role in the registrant’s internal control over financial reporting.</w:t>
            </w:r>
          </w:p>
        </w:tc>
      </w:tr>
    </w:tbl>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Date: May 6, 2026</w:t>
      </w:r>
    </w:p>
    <w:p>
      <w:pPr>
        <w:pStyle w:val="TextBody"/>
        <w:bidi w:val="0"/>
        <w:spacing w:before="0" w:after="0"/>
        <w:ind w:left="0" w:right="0" w:hanging="0"/>
        <w:jc w:val="left"/>
        <w:rPr/>
      </w:pPr>
      <w:r>
        <w:rPr/>
        <w:t>​</w:t>
      </w:r>
    </w:p>
    <w:tbl>
      <w:tblPr>
        <w:tblW w:w="4565" w:type="dxa"/>
        <w:jc w:val="center"/>
        <w:tblInd w:w="0" w:type="dxa"/>
        <w:tblLayout w:type="fixed"/>
        <w:tblCellMar>
          <w:top w:w="0" w:type="dxa"/>
          <w:left w:w="0" w:type="dxa"/>
          <w:bottom w:w="0" w:type="dxa"/>
          <w:right w:w="0" w:type="dxa"/>
        </w:tblCellMar>
      </w:tblPr>
      <w:tblGrid>
        <w:gridCol w:w="4411"/>
        <w:gridCol w:w="154"/>
      </w:tblGrid>
      <w:tr>
        <w:trPr/>
        <w:tc>
          <w:tcPr>
            <w:tcW w:w="4411" w:type="dxa"/>
            <w:tcBorders/>
            <w:vAlign w:val="center"/>
          </w:tcPr>
          <w:p>
            <w:pPr>
              <w:pStyle w:val="TableContents"/>
              <w:bidi w:val="0"/>
              <w:spacing w:before="0" w:after="0"/>
              <w:ind w:left="0" w:right="0" w:hanging="0"/>
              <w:jc w:val="left"/>
              <w:rPr/>
            </w:pPr>
            <w:r>
              <w:rPr/>
              <w:t>​</w:t>
            </w:r>
          </w:p>
        </w:tc>
        <w:tc>
          <w:tcPr>
            <w:tcW w:w="154" w:type="dxa"/>
            <w:tcBorders/>
            <w:vAlign w:val="center"/>
          </w:tcPr>
          <w:p>
            <w:pPr>
              <w:pStyle w:val="TableContents"/>
              <w:bidi w:val="0"/>
              <w:spacing w:before="0" w:after="0"/>
              <w:ind w:left="0" w:right="0" w:hanging="0"/>
              <w:jc w:val="left"/>
              <w:rPr/>
            </w:pPr>
            <w:r>
              <w:rPr/>
              <w:t>​</w:t>
            </w:r>
          </w:p>
        </w:tc>
      </w:tr>
      <w:tr>
        <w:trPr/>
        <w:tc>
          <w:tcPr>
            <w:tcW w:w="441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 Amy Allbach Samford</w:t>
            </w:r>
          </w:p>
        </w:tc>
        <w:tc>
          <w:tcPr>
            <w:tcW w:w="154" w:type="dxa"/>
            <w:tcBorders/>
            <w:vAlign w:val="center"/>
          </w:tcPr>
          <w:p>
            <w:pPr>
              <w:pStyle w:val="TableContents"/>
              <w:bidi w:val="0"/>
              <w:spacing w:before="0" w:after="0"/>
              <w:ind w:left="0" w:right="0" w:hanging="0"/>
              <w:jc w:val="left"/>
              <w:rPr/>
            </w:pPr>
            <w:r>
              <w:rPr/>
              <w:t>​</w:t>
            </w:r>
          </w:p>
        </w:tc>
      </w:tr>
      <w:tr>
        <w:trPr/>
        <w:tc>
          <w:tcPr>
            <w:tcW w:w="4411" w:type="dxa"/>
            <w:tcBorders>
              <w:top w:val="single" w:sz="2" w:space="0" w:color="000000"/>
            </w:tcBorders>
            <w:tcMar>
              <w:top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Amy Allbach Samford</w:t>
            </w:r>
          </w:p>
        </w:tc>
        <w:tc>
          <w:tcPr>
            <w:tcW w:w="154" w:type="dxa"/>
            <w:tcBorders/>
            <w:vAlign w:val="center"/>
          </w:tcPr>
          <w:p>
            <w:pPr>
              <w:pStyle w:val="TableContents"/>
              <w:bidi w:val="0"/>
              <w:spacing w:before="0" w:after="0"/>
              <w:ind w:left="0" w:right="0" w:hanging="0"/>
              <w:jc w:val="left"/>
              <w:rPr/>
            </w:pPr>
            <w:r>
              <w:rPr/>
              <w:t>​</w:t>
            </w:r>
          </w:p>
        </w:tc>
      </w:tr>
      <w:tr>
        <w:trPr/>
        <w:tc>
          <w:tcPr>
            <w:tcW w:w="44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Executive Vice President and Chief Financial Officer</w:t>
            </w:r>
          </w:p>
        </w:tc>
        <w:tc>
          <w:tcPr>
            <w:tcW w:w="154" w:type="dxa"/>
            <w:tcBorders/>
            <w:vAlign w:val="center"/>
          </w:tcPr>
          <w:p>
            <w:pPr>
              <w:pStyle w:val="TableContents"/>
              <w:bidi w:val="0"/>
              <w:spacing w:before="0" w:after="0"/>
              <w:ind w:left="0" w:right="0" w:hanging="0"/>
              <w:jc w:val="left"/>
              <w:rPr/>
            </w:pPr>
            <w:r>
              <w:rPr/>
              <w:t>​</w:t>
            </w:r>
          </w:p>
        </w:tc>
      </w:tr>
    </w:tbl>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200"/>
        <w:ind w:left="0" w:right="0" w:hanging="0"/>
        <w:jc w:val="right"/>
        <w:rPr>
          <w:rFonts w:ascii="Times New Roman;Times;serif" w:hAnsi="Times New Roman;Times;serif"/>
          <w:b/>
          <w:sz w:val="20"/>
        </w:rPr>
      </w:pPr>
      <w:bookmarkStart w:id="848" w:name="nl-20260331xex32d1.htm"/>
      <w:bookmarkStart w:id="849" w:name="ksnl20260331xex32d1"/>
      <w:bookmarkEnd w:id="848"/>
      <w:bookmarkEnd w:id="849"/>
      <w:r>
        <w:rPr>
          <w:rFonts w:ascii="Times New Roman;Times;serif" w:hAnsi="Times New Roman;Times;serif"/>
          <w:b/>
          <w:sz w:val="20"/>
        </w:rPr>
        <w:t>EXHIBIT 32.1</w:t>
      </w:r>
      <w:r>
        <w:br w:type="page"/>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CERTIFICATION PURSUANT TO</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18 U.S.C. SECTION 1350,</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AS ADOPTED PURSUANT TO</w:t>
      </w:r>
    </w:p>
    <w:p>
      <w:pPr>
        <w:pStyle w:val="TextBody"/>
        <w:bidi w:val="0"/>
        <w:spacing w:before="0" w:after="200"/>
        <w:ind w:left="0" w:right="0" w:hanging="0"/>
        <w:jc w:val="center"/>
        <w:rPr>
          <w:rFonts w:ascii="Times New Roman;Times;serif" w:hAnsi="Times New Roman;Times;serif"/>
          <w:b/>
          <w:sz w:val="20"/>
        </w:rPr>
      </w:pPr>
      <w:r>
        <w:rPr>
          <w:rFonts w:ascii="Times New Roman;Times;serif" w:hAnsi="Times New Roman;Times;serif"/>
          <w:b/>
          <w:sz w:val="20"/>
        </w:rPr>
        <w:t>SECTION 906 OF THE SARBANES-OXLEY ACT OF 2002</w:t>
      </w:r>
    </w:p>
    <w:p>
      <w:pPr>
        <w:pStyle w:val="TextBody"/>
        <w:bidi w:val="0"/>
        <w:spacing w:before="0" w:after="120"/>
        <w:ind w:left="0" w:right="0" w:hanging="0"/>
        <w:jc w:val="both"/>
        <w:rPr>
          <w:rFonts w:ascii="Times New Roman;Times;serif" w:hAnsi="Times New Roman;Times;serif"/>
          <w:sz w:val="20"/>
        </w:rPr>
      </w:pPr>
      <w:r>
        <w:rPr>
          <w:rFonts w:ascii="Times New Roman;Times;serif" w:hAnsi="Times New Roman;Times;serif"/>
          <w:sz w:val="20"/>
        </w:rPr>
        <w:t>In connection with the Quarterly Report of NL Industries, Inc. (the Company) on Form 10-Q for the quarter ended March 31, 2026 as filed with the Securities and Exchange Commission on the date hereof (the Report), I, Courtney J. Riley, President and Chief Executive Officer of the Company, and I, Amy Allbach Samford, Executive Vice President and Chief Financial Officer of the Company, certify, pursuant to 18 U.S.C. § 1350, as adopted pursuant to § 906 of the Sarbanes-Oxley Act of 2002, that:</w:t>
      </w:r>
    </w:p>
    <w:tbl>
      <w:tblPr>
        <w:tblW w:w="9805" w:type="dxa"/>
        <w:jc w:val="left"/>
        <w:tblInd w:w="0" w:type="dxa"/>
        <w:tblLayout w:type="fixed"/>
        <w:tblCellMar>
          <w:top w:w="0" w:type="dxa"/>
          <w:left w:w="0" w:type="dxa"/>
          <w:bottom w:w="0" w:type="dxa"/>
          <w:right w:w="0" w:type="dxa"/>
        </w:tblCellMar>
      </w:tblPr>
      <w:tblGrid>
        <w:gridCol w:w="245"/>
        <w:gridCol w:w="9560"/>
      </w:tblGrid>
      <w:tr>
        <w:trPr/>
        <w:tc>
          <w:tcPr>
            <w:tcW w:w="245" w:type="dxa"/>
            <w:tcBorders/>
            <w:vAlign w:val="center"/>
          </w:tcPr>
          <w:p>
            <w:pPr>
              <w:pStyle w:val="TableContents"/>
              <w:bidi w:val="0"/>
              <w:spacing w:before="0" w:after="120"/>
              <w:jc w:val="both"/>
              <w:rPr>
                <w:rFonts w:ascii="Times New Roman;Times;serif" w:hAnsi="Times New Roman;Times;serif"/>
                <w:sz w:val="20"/>
              </w:rPr>
            </w:pPr>
            <w:r>
              <w:rPr>
                <w:rFonts w:ascii="Times New Roman;Times;serif" w:hAnsi="Times New Roman;Times;serif"/>
                <w:sz w:val="20"/>
              </w:rPr>
              <w:t>(1)</w:t>
            </w:r>
          </w:p>
        </w:tc>
        <w:tc>
          <w:tcPr>
            <w:tcW w:w="9560" w:type="dxa"/>
            <w:tcBorders/>
            <w:vAlign w:val="center"/>
          </w:tcPr>
          <w:p>
            <w:pPr>
              <w:pStyle w:val="TableContents"/>
              <w:bidi w:val="0"/>
              <w:spacing w:before="0" w:after="120"/>
              <w:jc w:val="both"/>
              <w:rPr>
                <w:rFonts w:ascii="Times New Roman;Times;serif" w:hAnsi="Times New Roman;Times;serif"/>
                <w:sz w:val="20"/>
              </w:rPr>
            </w:pPr>
            <w:r>
              <w:rPr>
                <w:rFonts w:ascii="Times New Roman;Times;serif" w:hAnsi="Times New Roman;Times;serif"/>
                <w:sz w:val="20"/>
              </w:rPr>
              <w:t>The Report fully complies with the requirements of section 13(a) or 15(d) of the Securities Exchange Act of 1934; and</w:t>
            </w:r>
          </w:p>
        </w:tc>
      </w:tr>
    </w:tbl>
    <w:tbl>
      <w:tblPr>
        <w:tblW w:w="10205" w:type="dxa"/>
        <w:jc w:val="left"/>
        <w:tblInd w:w="0" w:type="dxa"/>
        <w:tblLayout w:type="fixed"/>
        <w:tblCellMar>
          <w:top w:w="0" w:type="dxa"/>
          <w:left w:w="0" w:type="dxa"/>
          <w:bottom w:w="0" w:type="dxa"/>
          <w:right w:w="0" w:type="dxa"/>
        </w:tblCellMar>
      </w:tblPr>
      <w:tblGrid>
        <w:gridCol w:w="235"/>
        <w:gridCol w:w="9970"/>
      </w:tblGrid>
      <w:tr>
        <w:trPr/>
        <w:tc>
          <w:tcPr>
            <w:tcW w:w="235"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(2)</w:t>
            </w:r>
          </w:p>
        </w:tc>
        <w:tc>
          <w:tcPr>
            <w:tcW w:w="9970"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The information contained in the Report fairly presents, in all material respects, the financial condition and results of operations of the Company.</w:t>
            </w:r>
          </w:p>
        </w:tc>
      </w:tr>
    </w:tbl>
    <w:p>
      <w:pPr>
        <w:pStyle w:val="TextBody"/>
        <w:bidi w:val="0"/>
        <w:spacing w:before="0" w:after="0"/>
        <w:ind w:left="0" w:right="0" w:hanging="0"/>
        <w:jc w:val="left"/>
        <w:rPr/>
      </w:pPr>
      <w:r>
        <w:rPr/>
        <w:t>​</w:t>
      </w:r>
    </w:p>
    <w:tbl>
      <w:tblPr>
        <w:tblW w:w="3335" w:type="dxa"/>
        <w:jc w:val="center"/>
        <w:tblInd w:w="0" w:type="dxa"/>
        <w:tblLayout w:type="fixed"/>
        <w:tblCellMar>
          <w:top w:w="0" w:type="dxa"/>
          <w:left w:w="0" w:type="dxa"/>
          <w:bottom w:w="0" w:type="dxa"/>
          <w:right w:w="0" w:type="dxa"/>
        </w:tblCellMar>
      </w:tblPr>
      <w:tblGrid>
        <w:gridCol w:w="3181"/>
        <w:gridCol w:w="154"/>
      </w:tblGrid>
      <w:tr>
        <w:trPr/>
        <w:tc>
          <w:tcPr>
            <w:tcW w:w="3181" w:type="dxa"/>
            <w:tcBorders/>
            <w:vAlign w:val="center"/>
          </w:tcPr>
          <w:p>
            <w:pPr>
              <w:pStyle w:val="TableContents"/>
              <w:bidi w:val="0"/>
              <w:spacing w:before="0" w:after="0"/>
              <w:ind w:left="0" w:right="0" w:hanging="0"/>
              <w:jc w:val="left"/>
              <w:rPr/>
            </w:pPr>
            <w:r>
              <w:rPr/>
              <w:t>​</w:t>
            </w:r>
          </w:p>
        </w:tc>
        <w:tc>
          <w:tcPr>
            <w:tcW w:w="154" w:type="dxa"/>
            <w:tcBorders/>
            <w:vAlign w:val="center"/>
          </w:tcPr>
          <w:p>
            <w:pPr>
              <w:pStyle w:val="TableContents"/>
              <w:bidi w:val="0"/>
              <w:spacing w:before="0" w:after="0"/>
              <w:ind w:left="0" w:right="0" w:hanging="0"/>
              <w:jc w:val="left"/>
              <w:rPr/>
            </w:pPr>
            <w:r>
              <w:rPr/>
              <w:t>​</w:t>
            </w:r>
          </w:p>
        </w:tc>
      </w:tr>
      <w:tr>
        <w:trPr/>
        <w:tc>
          <w:tcPr>
            <w:tcW w:w="318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 Courtney J. Riley</w:t>
            </w:r>
          </w:p>
        </w:tc>
        <w:tc>
          <w:tcPr>
            <w:tcW w:w="154" w:type="dxa"/>
            <w:tcBorders/>
            <w:vAlign w:val="center"/>
          </w:tcPr>
          <w:p>
            <w:pPr>
              <w:pStyle w:val="TableContents"/>
              <w:bidi w:val="0"/>
              <w:spacing w:before="0" w:after="0"/>
              <w:ind w:left="0" w:right="0" w:hanging="0"/>
              <w:jc w:val="left"/>
              <w:rPr/>
            </w:pPr>
            <w:r>
              <w:rPr/>
              <w:t>​</w:t>
            </w:r>
          </w:p>
        </w:tc>
      </w:tr>
      <w:tr>
        <w:trPr/>
        <w:tc>
          <w:tcPr>
            <w:tcW w:w="3181" w:type="dxa"/>
            <w:tcBorders>
              <w:top w:val="single" w:sz="2" w:space="0" w:color="000000"/>
            </w:tcBorders>
            <w:tcMar>
              <w:top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Courtney J. Riley</w:t>
            </w:r>
          </w:p>
        </w:tc>
        <w:tc>
          <w:tcPr>
            <w:tcW w:w="154" w:type="dxa"/>
            <w:tcBorders/>
            <w:vAlign w:val="center"/>
          </w:tcPr>
          <w:p>
            <w:pPr>
              <w:pStyle w:val="TableContents"/>
              <w:bidi w:val="0"/>
              <w:spacing w:before="0" w:after="0"/>
              <w:ind w:left="0" w:right="0" w:hanging="0"/>
              <w:jc w:val="left"/>
              <w:rPr/>
            </w:pPr>
            <w:r>
              <w:rPr/>
              <w:t>​</w:t>
            </w:r>
          </w:p>
        </w:tc>
      </w:tr>
      <w:tr>
        <w:trPr/>
        <w:tc>
          <w:tcPr>
            <w:tcW w:w="318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President and Chief Executive Officer</w:t>
            </w:r>
          </w:p>
        </w:tc>
        <w:tc>
          <w:tcPr>
            <w:tcW w:w="154" w:type="dxa"/>
            <w:tcBorders/>
            <w:vAlign w:val="center"/>
          </w:tcPr>
          <w:p>
            <w:pPr>
              <w:pStyle w:val="TableContents"/>
              <w:bidi w:val="0"/>
              <w:spacing w:before="0" w:after="0"/>
              <w:ind w:left="0" w:right="0" w:hanging="0"/>
              <w:jc w:val="left"/>
              <w:rPr/>
            </w:pPr>
            <w:r>
              <w:rPr/>
              <w:t>​</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tbl>
      <w:tblPr>
        <w:tblW w:w="4565" w:type="dxa"/>
        <w:jc w:val="center"/>
        <w:tblInd w:w="0" w:type="dxa"/>
        <w:tblLayout w:type="fixed"/>
        <w:tblCellMar>
          <w:top w:w="0" w:type="dxa"/>
          <w:left w:w="0" w:type="dxa"/>
          <w:bottom w:w="0" w:type="dxa"/>
          <w:right w:w="0" w:type="dxa"/>
        </w:tblCellMar>
      </w:tblPr>
      <w:tblGrid>
        <w:gridCol w:w="4411"/>
        <w:gridCol w:w="154"/>
      </w:tblGrid>
      <w:tr>
        <w:trPr/>
        <w:tc>
          <w:tcPr>
            <w:tcW w:w="4411" w:type="dxa"/>
            <w:tcBorders/>
            <w:vAlign w:val="center"/>
          </w:tcPr>
          <w:p>
            <w:pPr>
              <w:pStyle w:val="TableContents"/>
              <w:bidi w:val="0"/>
              <w:spacing w:before="0" w:after="0"/>
              <w:ind w:left="0" w:right="0" w:hanging="0"/>
              <w:jc w:val="left"/>
              <w:rPr/>
            </w:pPr>
            <w:r>
              <w:rPr/>
              <w:t>​</w:t>
            </w:r>
          </w:p>
        </w:tc>
        <w:tc>
          <w:tcPr>
            <w:tcW w:w="154" w:type="dxa"/>
            <w:tcBorders/>
            <w:vAlign w:val="center"/>
          </w:tcPr>
          <w:p>
            <w:pPr>
              <w:pStyle w:val="TableContents"/>
              <w:bidi w:val="0"/>
              <w:spacing w:before="0" w:after="0"/>
              <w:ind w:left="0" w:right="0" w:hanging="0"/>
              <w:jc w:val="left"/>
              <w:rPr/>
            </w:pPr>
            <w:r>
              <w:rPr/>
              <w:t>​</w:t>
            </w:r>
          </w:p>
        </w:tc>
      </w:tr>
      <w:tr>
        <w:trPr/>
        <w:tc>
          <w:tcPr>
            <w:tcW w:w="441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 Amy Allbach Samford</w:t>
            </w:r>
          </w:p>
        </w:tc>
        <w:tc>
          <w:tcPr>
            <w:tcW w:w="154" w:type="dxa"/>
            <w:tcBorders/>
            <w:vAlign w:val="center"/>
          </w:tcPr>
          <w:p>
            <w:pPr>
              <w:pStyle w:val="TableContents"/>
              <w:bidi w:val="0"/>
              <w:spacing w:before="0" w:after="0"/>
              <w:ind w:left="0" w:right="0" w:hanging="0"/>
              <w:jc w:val="left"/>
              <w:rPr/>
            </w:pPr>
            <w:r>
              <w:rPr/>
              <w:t>​</w:t>
            </w:r>
          </w:p>
        </w:tc>
      </w:tr>
      <w:tr>
        <w:trPr/>
        <w:tc>
          <w:tcPr>
            <w:tcW w:w="4411" w:type="dxa"/>
            <w:tcBorders>
              <w:top w:val="single" w:sz="2" w:space="0" w:color="000000"/>
            </w:tcBorders>
            <w:tcMar>
              <w:top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Amy Allbach Samford</w:t>
            </w:r>
          </w:p>
        </w:tc>
        <w:tc>
          <w:tcPr>
            <w:tcW w:w="154" w:type="dxa"/>
            <w:tcBorders/>
            <w:vAlign w:val="center"/>
          </w:tcPr>
          <w:p>
            <w:pPr>
              <w:pStyle w:val="TableContents"/>
              <w:bidi w:val="0"/>
              <w:spacing w:before="0" w:after="0"/>
              <w:ind w:left="0" w:right="0" w:hanging="0"/>
              <w:jc w:val="left"/>
              <w:rPr/>
            </w:pPr>
            <w:r>
              <w:rPr/>
              <w:t>​</w:t>
            </w:r>
          </w:p>
        </w:tc>
      </w:tr>
      <w:tr>
        <w:trPr/>
        <w:tc>
          <w:tcPr>
            <w:tcW w:w="44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Executive Vice President and Chief Financial Officer</w:t>
            </w:r>
          </w:p>
        </w:tc>
        <w:tc>
          <w:tcPr>
            <w:tcW w:w="154" w:type="dxa"/>
            <w:tcBorders/>
            <w:vAlign w:val="center"/>
          </w:tcPr>
          <w:p>
            <w:pPr>
              <w:pStyle w:val="TableContents"/>
              <w:bidi w:val="0"/>
              <w:spacing w:before="0" w:after="0"/>
              <w:ind w:left="0" w:right="0" w:hanging="0"/>
              <w:jc w:val="left"/>
              <w:rPr/>
            </w:pPr>
            <w:r>
              <w:rPr/>
              <w:t>​</w:t>
            </w:r>
          </w:p>
        </w:tc>
      </w:tr>
    </w:tbl>
    <w:p>
      <w:pPr>
        <w:pStyle w:val="TextBody"/>
        <w:bidi w:val="0"/>
        <w:spacing w:before="0" w:after="0"/>
        <w:ind w:left="0" w:right="0" w:hanging="0"/>
        <w:jc w:val="left"/>
        <w:rPr/>
      </w:pPr>
      <w:r>
        <w:rPr/>
        <w:t>​</w:t>
      </w:r>
    </w:p>
    <w:p>
      <w:pPr>
        <w:pStyle w:val="TextBody"/>
        <w:bidi w:val="0"/>
        <w:spacing w:before="0" w:after="120"/>
        <w:ind w:left="0" w:right="0" w:hanging="0"/>
        <w:jc w:val="both"/>
        <w:rPr>
          <w:rFonts w:ascii="Times New Roman;Times;serif" w:hAnsi="Times New Roman;Times;serif"/>
          <w:sz w:val="20"/>
        </w:rPr>
      </w:pPr>
      <w:r>
        <w:rPr>
          <w:rFonts w:ascii="Times New Roman;Times;serif" w:hAnsi="Times New Roman;Times;serif"/>
          <w:sz w:val="20"/>
        </w:rPr>
        <w:t>May 6, 2026</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Note: The certification the registrant furnished in this exhibit is not deemed “filed” for purposes of Section 18 of the Securities Exchange Act of 1934, as amended, or otherwise subject to the liabilities of that Section. Registration Statements or other documents filed with the Securities and Exchange Commission shall not incorporate this exhibit by reference, except as otherwise expressly stated in such filing.</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 w:name="Arial">
    <w:altName w:val="Helvetica"/>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9</Pages>
  <Words>24352</Words>
  <Characters>130985</Characters>
  <CharactersWithSpaces>156941</CharactersWithSpaces>
  <Paragraphs>5012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