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2" w:space="1" w:color="000000"/>
        </w:pBdr>
        <w:bidi w:val="0"/>
        <w:spacing w:before="0" w:after="0"/>
        <w:ind w:left="0" w:right="0" w:hanging="0"/>
        <w:jc w:val="center"/>
        <w:rPr>
          <w:bdr w:val="single" w:sz="8" w:space="2" w:color="000000"/>
        </w:rPr>
      </w:pPr>
      <w:bookmarkStart w:id="0" w:name="_ac83072f_a7ea_4a95_aead_2aee6344d15f"/>
      <w:bookmarkStart w:id="1" w:name="nl-20260805x8k.htm"/>
      <w:bookmarkStart w:id="2" w:name="ksnl20260805x8k"/>
      <w:bookmarkEnd w:id="0"/>
      <w:bookmarkEnd w:id="1"/>
      <w:bookmarkEnd w:id="2"/>
      <w:r>
        <w:rPr>
          <w:bdr w:val="single" w:sz="8" w:space="2" w:color="000000"/>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lineRule="auto" w:line="144"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August 5,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36"/>
        </w:rPr>
      </w:pPr>
      <w:r>
        <w:rPr>
          <w:rFonts w:ascii="Times New Roman;Times;serif" w:hAnsi="Times New Roman;Times;serif"/>
          <w:b/>
          <w:smallCaps/>
          <w:sz w:val="36"/>
        </w:rPr>
        <w:t>NLI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MtVXr6hCA0ui0Y8GgwE48g_2_2"/>
      <w:bookmarkStart w:id="4" w:name="Tc_BChxg7pX1UuPLKExrClBXA_2_1"/>
      <w:bookmarkStart w:id="5" w:name="Tc_10kCD59XAUGk4On6vbjo6A_2_0"/>
      <w:bookmarkStart w:id="6" w:name="_858b5da4_1d65_44c5_82bd_f9c2068764f7"/>
      <w:bookmarkStart w:id="7" w:name="Tc_MtVXr6hCA0ui0Y8GgwE48g_2_2"/>
      <w:bookmarkStart w:id="8" w:name="Tc_BChxg7pX1UuPLKExrClBXA_2_1"/>
      <w:bookmarkStart w:id="9" w:name="Tc_10kCD59XAUGk4On6vbjo6A_2_0"/>
      <w:bookmarkStart w:id="10" w:name="_858b5da4_1d65_44c5_82bd_f9c2068764f7"/>
      <w:bookmarkEnd w:id="7"/>
      <w:bookmarkEnd w:id="8"/>
      <w:bookmarkEnd w:id="9"/>
      <w:bookmarkEnd w:id="10"/>
    </w:p>
    <w:tbl>
      <w:tblPr>
        <w:tblW w:w="5088" w:type="dxa"/>
        <w:jc w:val="left"/>
        <w:tblInd w:w="0" w:type="dxa"/>
        <w:tblLayout w:type="fixed"/>
        <w:tblCellMar>
          <w:top w:w="0" w:type="dxa"/>
          <w:left w:w="0" w:type="dxa"/>
          <w:bottom w:w="0" w:type="dxa"/>
          <w:right w:w="0" w:type="dxa"/>
        </w:tblCellMar>
      </w:tblPr>
      <w:tblGrid>
        <w:gridCol w:w="2251"/>
        <w:gridCol w:w="1186"/>
        <w:gridCol w:w="1651"/>
      </w:tblGrid>
      <w:tr>
        <w:trPr/>
        <w:tc>
          <w:tcPr>
            <w:tcW w:w="225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1-640</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13-5267260</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QVmamhTpIUWb0tHsPyH2IA_2_1"/>
      <w:bookmarkStart w:id="12" w:name="Tc_vm4V-mastU-54sgNPl40ZQ_2_0"/>
      <w:bookmarkStart w:id="13" w:name="Tc_tYMimRt1I0ajEdmQLd0g2w_1_0"/>
      <w:bookmarkStart w:id="14" w:name="_7a222b6a_4a52_4c9e_8e8c_a0ceaa03d16b"/>
      <w:bookmarkStart w:id="15" w:name="Tc_QVmamhTpIUWb0tHsPyH2IA_2_1"/>
      <w:bookmarkStart w:id="16" w:name="Tc_vm4V-mastU-54sgNPl40ZQ_2_0"/>
      <w:bookmarkStart w:id="17" w:name="Tc_tYMimRt1I0ajEdmQLd0g2w_1_0"/>
      <w:bookmarkStart w:id="18" w:name="_7a222b6a_4a52_4c9e_8e8c_a0ceaa03d16b"/>
      <w:bookmarkEnd w:id="15"/>
      <w:bookmarkEnd w:id="16"/>
      <w:bookmarkEnd w:id="17"/>
      <w:bookmarkEnd w:id="18"/>
    </w:p>
    <w:tbl>
      <w:tblPr>
        <w:tblW w:w="6002" w:type="dxa"/>
        <w:jc w:val="left"/>
        <w:tblInd w:w="0" w:type="dxa"/>
        <w:tblLayout w:type="fixed"/>
        <w:tblCellMar>
          <w:top w:w="0" w:type="dxa"/>
          <w:left w:w="0" w:type="dxa"/>
          <w:bottom w:w="0" w:type="dxa"/>
          <w:right w:w="0" w:type="dxa"/>
        </w:tblCellMar>
      </w:tblPr>
      <w:tblGrid>
        <w:gridCol w:w="4696"/>
        <w:gridCol w:w="1306"/>
      </w:tblGrid>
      <w:tr>
        <w:trPr/>
        <w:tc>
          <w:tcPr>
            <w:tcW w:w="469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233-1700</w:t>
      </w:r>
    </w:p>
    <w:tbl>
      <w:tblPr>
        <w:tblW w:w="5483" w:type="dxa"/>
        <w:jc w:val="left"/>
        <w:tblInd w:w="0" w:type="dxa"/>
        <w:tblLayout w:type="fixed"/>
        <w:tblCellMar>
          <w:top w:w="0" w:type="dxa"/>
          <w:left w:w="0" w:type="dxa"/>
          <w:bottom w:w="0" w:type="dxa"/>
          <w:right w:w="0" w:type="dxa"/>
        </w:tblCellMar>
      </w:tblPr>
      <w:tblGrid>
        <w:gridCol w:w="221"/>
        <w:gridCol w:w="5011"/>
        <w:gridCol w:w="251"/>
      </w:tblGrid>
      <w:tr>
        <w:trPr/>
        <w:tc>
          <w:tcPr>
            <w:tcW w:w="221"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r>
      <w:tr>
        <w:trPr/>
        <w:tc>
          <w:tcPr>
            <w:tcW w:w="221" w:type="dxa"/>
            <w:tcBorders/>
            <w:vAlign w:val="center"/>
          </w:tcPr>
          <w:p>
            <w:pPr>
              <w:pStyle w:val="TableContents"/>
              <w:bidi w:val="0"/>
              <w:spacing w:before="0" w:after="0"/>
              <w:ind w:left="0" w:right="0" w:hanging="0"/>
              <w:jc w:val="left"/>
              <w:rPr/>
            </w:pPr>
            <w:r>
              <w:rPr/>
              <w:t xml:space="preserve">  </w:t>
            </w:r>
          </w:p>
        </w:tc>
        <w:tc>
          <w:tcPr>
            <w:tcW w:w="50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xml:space="preserve">  </w:t>
            </w:r>
          </w:p>
        </w:tc>
      </w:tr>
      <w:tr>
        <w:trPr/>
        <w:tc>
          <w:tcPr>
            <w:tcW w:w="221" w:type="dxa"/>
            <w:tcBorders/>
            <w:vAlign w:val="center"/>
          </w:tcPr>
          <w:p>
            <w:pPr>
              <w:pStyle w:val="TableContents"/>
              <w:bidi w:val="0"/>
              <w:spacing w:before="0" w:after="0"/>
              <w:ind w:left="0" w:right="0" w:hanging="0"/>
              <w:jc w:val="left"/>
              <w:rPr/>
            </w:pPr>
            <w:r>
              <w:rPr/>
              <w:t xml:space="preserve">  </w:t>
            </w:r>
          </w:p>
        </w:tc>
        <w:tc>
          <w:tcPr>
            <w:tcW w:w="5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251"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tsAA0-IRZkynwhso4CsnAw_7_1"/>
      <w:bookmarkStart w:id="20" w:name="Tc_sFfS9pYfpkiV_mGVBKC82g_5_1"/>
      <w:bookmarkStart w:id="21" w:name="Tc_0rCmL0JQE0yiGroLdbH2cQ_3_1"/>
      <w:bookmarkStart w:id="22" w:name="Tc_Fh62R_v4JUS0aQNQQPySUw_1_1"/>
      <w:bookmarkStart w:id="23" w:name="_92d2b128_0f23_46e6_bfb9_6e704b0cddfe"/>
      <w:bookmarkStart w:id="24" w:name="Tc_tsAA0-IRZkynwhso4CsnAw_7_1"/>
      <w:bookmarkStart w:id="25" w:name="Tc_sFfS9pYfpkiV_mGVBKC82g_5_1"/>
      <w:bookmarkStart w:id="26" w:name="Tc_0rCmL0JQE0yiGroLdbH2cQ_3_1"/>
      <w:bookmarkStart w:id="27" w:name="Tc_Fh62R_v4JUS0aQNQQPySUw_1_1"/>
      <w:bookmarkStart w:id="28" w:name="_92d2b128_0f23_46e6_bfb9_6e704b0cddfe"/>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pPr>
            <w:r>
              <w:rPr/>
              <w:t xml:space="preserve">  </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pPr>
            <w:r>
              <w:rPr/>
              <w:t xml:space="preserve">  </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 xml:space="preserve">  </w:t>
            </w:r>
          </w:p>
        </w:tc>
        <w:tc>
          <w:tcPr>
            <w:tcW w:w="9181" w:type="dxa"/>
            <w:tcBorders/>
            <w:vAlign w:val="center"/>
          </w:tcPr>
          <w:p>
            <w:pPr>
              <w:pStyle w:val="TableContents"/>
              <w:bidi w:val="0"/>
              <w:spacing w:before="0" w:after="0"/>
              <w:ind w:left="0" w:right="0" w:hanging="0"/>
              <w:jc w:val="left"/>
              <w:rPr/>
            </w:pPr>
            <w:r>
              <w:rPr/>
              <w:t xml:space="preserve">  </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S7g8SxH39Eq5qUzZtpV7DA_1_4"/>
      <w:bookmarkStart w:id="30" w:name="Tc_Cc1R-h0BJUO1MUs6sw5X1w_1_2"/>
      <w:bookmarkStart w:id="31" w:name="Tc_ADBDxbdud0-fMD_PC9xEKQ_1_0"/>
      <w:bookmarkStart w:id="32" w:name="_a49c76f0_9025_4f83_843f_1aa546ea718a"/>
      <w:bookmarkStart w:id="33" w:name="Tc_S7g8SxH39Eq5qUzZtpV7DA_1_4"/>
      <w:bookmarkStart w:id="34" w:name="Tc_Cc1R-h0BJUO1MUs6sw5X1w_1_2"/>
      <w:bookmarkStart w:id="35" w:name="Tc_ADBDxbdud0-fMD_PC9xEKQ_1_0"/>
      <w:bookmarkStart w:id="36" w:name="_a49c76f0_9025_4f83_843f_1aa546ea718a"/>
      <w:bookmarkEnd w:id="33"/>
      <w:bookmarkEnd w:id="34"/>
      <w:bookmarkEnd w:id="35"/>
      <w:bookmarkEnd w:id="36"/>
    </w:p>
    <w:tbl>
      <w:tblPr>
        <w:tblW w:w="5990" w:type="dxa"/>
        <w:jc w:val="left"/>
        <w:tblInd w:w="0" w:type="dxa"/>
        <w:tblLayout w:type="fixed"/>
        <w:tblCellMar>
          <w:top w:w="0" w:type="dxa"/>
          <w:left w:w="0" w:type="dxa"/>
          <w:bottom w:w="0" w:type="dxa"/>
          <w:right w:w="0" w:type="dxa"/>
        </w:tblCellMar>
      </w:tblPr>
      <w:tblGrid>
        <w:gridCol w:w="1396"/>
        <w:gridCol w:w="226"/>
        <w:gridCol w:w="826"/>
        <w:gridCol w:w="226"/>
        <w:gridCol w:w="331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886460" cy="175260"/>
                      <wp:effectExtent l="0" t="0" r="0" b="0"/>
                      <wp:wrapNone/>
                      <wp:docPr id="1" name="Frame1"/>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43510" cy="175260"/>
                      <wp:effectExtent l="0" t="0" r="0" b="0"/>
                      <wp:wrapNone/>
                      <wp:docPr id="2" name="Frame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24510" cy="350520"/>
                      <wp:effectExtent l="0" t="0" r="0" b="0"/>
                      <wp:wrapNone/>
                      <wp:docPr id="3" name="Frame3"/>
                      <a:graphic xmlns:a="http://schemas.openxmlformats.org/drawingml/2006/main">
                        <a:graphicData uri="http://schemas.microsoft.com/office/word/2010/wordprocessingShape">
                          <wps:wsp>
                            <wps:cNvSpPr txBox="1"/>
                            <wps:spPr>
                              <a:xfrm>
                                <a:off x="0" y="0"/>
                                <a:ext cx="524510"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3510" cy="175260"/>
                      <wp:effectExtent l="0" t="0" r="0" b="0"/>
                      <wp:wrapNone/>
                      <wp:docPr id="4" name="Frame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05660" cy="175260"/>
                      <wp:effectExtent l="0" t="0" r="0" b="0"/>
                      <wp:wrapNone/>
                      <wp:docPr id="5" name="Frame5"/>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22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NL</w:t>
            </w:r>
          </w:p>
        </w:tc>
        <w:tc>
          <w:tcPr>
            <w:tcW w:w="226" w:type="dxa"/>
            <w:tcBorders/>
            <w:vAlign w:val="center"/>
          </w:tcPr>
          <w:p>
            <w:pPr>
              <w:pStyle w:val="TableContents"/>
              <w:bidi w:val="0"/>
              <w:spacing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New York Stock Exchange</w:t>
            </w:r>
          </w:p>
        </w:tc>
      </w:tr>
    </w:tbl>
    <w:p>
      <w:pPr>
        <w:pStyle w:val="TextBody"/>
        <w:bidi w:val="0"/>
        <w:spacing w:lineRule="auto" w:line="144"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pBdr>
          <w:bottom w:val="single" w:sz="12" w:space="1" w:color="000000"/>
        </w:pBdr>
        <w:bidi w:val="0"/>
        <w:spacing w:before="0" w:after="0"/>
        <w:ind w:left="0" w:right="0" w:hanging="0"/>
        <w:jc w:val="left"/>
        <w:rPr>
          <w:rFonts w:ascii="Times New Roman;Times;serif" w:hAnsi="Times New Roman;Times;serif"/>
          <w:sz w:val="20"/>
          <w:bdr w:val="single" w:sz="8" w:space="2" w:color="000000"/>
        </w:rPr>
      </w:pPr>
      <w:r>
        <w:rPr>
          <w:rFonts w:ascii="Times New Roman;Times;serif" w:hAnsi="Times New Roman;Times;serif"/>
          <w:sz w:val="20"/>
          <w:bdr w:val="single" w:sz="8" w:space="2" w:color="00000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rFonts w:ascii="Times New Roman;Times;serif" w:hAnsi="Times New Roman;Times;serif"/>
          <w:sz w:val="20"/>
        </w:rPr>
      </w:pPr>
      <w:bookmarkStart w:id="37" w:name="_5cbe1ead_5bba_45aa_8678_0215a29f14ac"/>
      <w:bookmarkEnd w:id="37"/>
      <w:r>
        <w:rPr>
          <w:rFonts w:ascii="Times New Roman;Times;serif" w:hAnsi="Times New Roman;Times;serif"/>
          <w:b/>
          <w:i w:val="false"/>
          <w:caps w:val="false"/>
          <w:smallCaps w:val="false"/>
          <w:sz w:val="20"/>
        </w:rPr>
        <w:t>Item 2.02</w:t>
      </w:r>
      <w:r>
        <w:rPr>
          <w:rFonts w:ascii="Times New Roman;Times;serif" w:hAnsi="Times New Roman;Times;serif"/>
          <w:b/>
          <w:sz w:val="20"/>
        </w:rPr>
        <w:t>Results of Operations and Financial Condition.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registrant hereby furnishes the information set forth in its press release entitled “NLI Reports Second Quarter 2026 Results” issued on August 5, 2026, a copy of which is attached hereto as Exhibit 99.1 and incorporated herein by reference.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 w:name="_f4197e5e_427d_437a_8594_12942029500a"/>
      <w:bookmarkStart w:id="39" w:name="_f4197e5e_427d_437a_8594_12942029500a"/>
      <w:bookmarkEnd w:id="39"/>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“NLI Holdings Announces Quarterly Dividend for the Third Quarter of 2026 at $.10 Per Share” that the registrant also issued on August 5, 2026, a copy of which is attached hereto as Exhibit 99.2 and incorporated herein by reference.</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rFonts w:ascii="Times New Roman;Times;serif" w:hAnsi="Times New Roman;Times;serif"/>
          <w:spacing w:val="-3"/>
          <w:sz w:val="20"/>
        </w:rPr>
      </w:pPr>
      <w:r>
        <w:rPr>
          <w:rFonts w:ascii="Times New Roman;Times;serif" w:hAnsi="Times New Roman;Times;serif"/>
          <w:spacing w:val="-3"/>
          <w:sz w:val="20"/>
        </w:rPr>
        <w:t xml:space="preserve">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40" w:name="_c46d3d19_1129_4c59_a8f8_ccdb9e485d43"/>
      <w:bookmarkEnd w:id="40"/>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3"/>
        <w:gridCol w:w="814"/>
        <w:gridCol w:w="346"/>
        <w:gridCol w:w="8722"/>
      </w:tblGrid>
      <w:tr>
        <w:trPr/>
        <w:tc>
          <w:tcPr>
            <w:tcW w:w="323" w:type="dxa"/>
            <w:tcBorders/>
            <w:vAlign w:val="center"/>
          </w:tcPr>
          <w:p>
            <w:pPr>
              <w:pStyle w:val="TableContents"/>
              <w:bidi w:val="0"/>
              <w:spacing w:lineRule="auto" w:line="304" w:before="0" w:after="0"/>
              <w:ind w:left="0" w:right="0" w:hanging="0"/>
              <w:jc w:val="left"/>
              <w:rPr/>
            </w:pPr>
            <w:r>
              <w:rPr/>
              <w:t>​</w:t>
            </w:r>
          </w:p>
        </w:tc>
        <w:tc>
          <w:tcPr>
            <w:tcW w:w="814"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vAlign w:val="center"/>
          </w:tcPr>
          <w:p>
            <w:pPr>
              <w:pStyle w:val="TableContents"/>
              <w:bidi w:val="0"/>
              <w:spacing w:lineRule="auto" w:line="304" w:before="0" w:after="0"/>
              <w:ind w:left="0" w:right="0" w:hanging="0"/>
              <w:jc w:val="left"/>
              <w:rPr/>
            </w:pPr>
            <w:r>
              <w:rPr/>
              <w:t>​</w:t>
            </w:r>
          </w:p>
        </w:tc>
      </w:tr>
      <w:tr>
        <w:trPr/>
        <w:tc>
          <w:tcPr>
            <w:tcW w:w="323"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814"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vAlign w:val="center"/>
          </w:tcPr>
          <w:p>
            <w:pPr>
              <w:pStyle w:val="TableContents"/>
              <w:bidi w:val="0"/>
              <w:spacing w:lineRule="auto" w:line="304" w:before="0" w:after="0"/>
              <w:ind w:left="0" w:right="0" w:hanging="0"/>
              <w:jc w:val="left"/>
              <w:rPr/>
            </w:pPr>
            <w:r>
              <w:rPr/>
              <w:t>​</w:t>
            </w:r>
          </w:p>
        </w:tc>
      </w:tr>
      <w:tr>
        <w:trPr/>
        <w:tc>
          <w:tcPr>
            <w:tcW w:w="323" w:type="dxa"/>
            <w:tcBorders/>
            <w:vAlign w:val="center"/>
          </w:tcPr>
          <w:p>
            <w:pPr>
              <w:pStyle w:val="TableContents"/>
              <w:bidi w:val="0"/>
              <w:spacing w:lineRule="auto" w:line="304" w:before="0" w:after="0"/>
              <w:ind w:left="0" w:right="0" w:hanging="0"/>
              <w:jc w:val="left"/>
              <w:rPr/>
            </w:pPr>
            <w:r>
              <w:rPr/>
              <w:t>​</w:t>
            </w:r>
          </w:p>
        </w:tc>
        <w:tc>
          <w:tcPr>
            <w:tcW w:w="814"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vAlign w:val="center"/>
          </w:tcPr>
          <w:p>
            <w:pPr>
              <w:pStyle w:val="TableContents"/>
              <w:bidi w:val="0"/>
              <w:spacing w:lineRule="auto" w:line="304" w:before="0" w:after="0"/>
              <w:ind w:left="0" w:right="0" w:hanging="0"/>
              <w:jc w:val="left"/>
              <w:rPr/>
            </w:pPr>
            <w:r>
              <w:rPr/>
              <w:t>​</w:t>
            </w:r>
          </w:p>
        </w:tc>
      </w:tr>
      <w:tr>
        <w:trPr/>
        <w:tc>
          <w:tcPr>
            <w:tcW w:w="323" w:type="dxa"/>
            <w:tcBorders/>
            <w:vAlign w:val="center"/>
          </w:tcPr>
          <w:p>
            <w:pPr>
              <w:pStyle w:val="TableContents"/>
              <w:bidi w:val="0"/>
              <w:spacing w:lineRule="auto" w:line="304" w:before="0" w:after="0"/>
              <w:ind w:left="0" w:right="0" w:hanging="0"/>
              <w:jc w:val="center"/>
              <w:rPr/>
            </w:pPr>
            <w:r>
              <w:rPr/>
              <w:t>​</w:t>
            </w:r>
          </w:p>
        </w:tc>
        <w:tc>
          <w:tcPr>
            <w:tcW w:w="814"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Item No.</w:t>
            </w:r>
          </w:p>
        </w:tc>
        <w:tc>
          <w:tcPr>
            <w:tcW w:w="346" w:type="dxa"/>
            <w:tcBorders/>
            <w:vAlign w:val="center"/>
          </w:tcPr>
          <w:p>
            <w:pPr>
              <w:pStyle w:val="TableContents"/>
              <w:bidi w:val="0"/>
              <w:spacing w:lineRule="auto" w:line="304" w:before="0" w:after="0"/>
              <w:ind w:left="0" w:right="0" w:hanging="0"/>
              <w:jc w:val="left"/>
              <w:rPr/>
            </w:pPr>
            <w:r>
              <w:rPr/>
              <w:t>  ​ ​ ​</w:t>
            </w:r>
          </w:p>
        </w:tc>
        <w:tc>
          <w:tcPr>
            <w:tcW w:w="8722"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323" w:type="dxa"/>
            <w:tcBorders/>
            <w:vAlign w:val="center"/>
          </w:tcPr>
          <w:p>
            <w:pPr>
              <w:pStyle w:val="TableContents"/>
              <w:bidi w:val="0"/>
              <w:spacing w:lineRule="auto" w:line="304" w:before="0" w:after="0"/>
              <w:ind w:left="0" w:right="0" w:hanging="0"/>
              <w:jc w:val="left"/>
              <w:rPr/>
            </w:pPr>
            <w:r>
              <w:rPr/>
              <w:t>​</w:t>
            </w:r>
          </w:p>
        </w:tc>
        <w:tc>
          <w:tcPr>
            <w:tcW w:w="814" w:type="dxa"/>
            <w:tcBorders>
              <w:top w:val="single" w:sz="2" w:space="0" w:color="000000"/>
            </w:tcBorders>
            <w:tcMar>
              <w:top w:w="28" w:type="dxa"/>
            </w:tcMar>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top w:val="single" w:sz="2" w:space="0" w:color="000000"/>
            </w:tcBorders>
            <w:tcMar>
              <w:top w:w="28" w:type="dxa"/>
            </w:tcMar>
            <w:vAlign w:val="center"/>
          </w:tcPr>
          <w:p>
            <w:pPr>
              <w:pStyle w:val="TableContents"/>
              <w:bidi w:val="0"/>
              <w:spacing w:lineRule="auto" w:line="304" w:before="0" w:after="0"/>
              <w:ind w:left="0" w:right="0" w:hanging="0"/>
              <w:jc w:val="left"/>
              <w:rPr/>
            </w:pPr>
            <w:r>
              <w:rPr/>
              <w:t>​</w:t>
            </w:r>
          </w:p>
        </w:tc>
      </w:tr>
      <w:tr>
        <w:trPr/>
        <w:tc>
          <w:tcPr>
            <w:tcW w:w="323" w:type="dxa"/>
            <w:tcBorders/>
            <w:vAlign w:val="center"/>
          </w:tcPr>
          <w:p>
            <w:pPr>
              <w:pStyle w:val="TableContents"/>
              <w:bidi w:val="0"/>
              <w:spacing w:lineRule="auto" w:line="304" w:before="0" w:after="0"/>
              <w:ind w:left="0" w:right="0" w:hanging="0"/>
              <w:jc w:val="left"/>
              <w:rPr/>
            </w:pPr>
            <w:r>
              <w:rPr/>
              <w:t>​</w:t>
            </w:r>
          </w:p>
        </w:tc>
        <w:tc>
          <w:tcPr>
            <w:tcW w:w="814"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vAlign w:val="center"/>
          </w:tcPr>
          <w:p>
            <w:pPr>
              <w:pStyle w:val="TableContents"/>
              <w:bidi w:val="0"/>
              <w:spacing w:lineRule="auto" w:line="304" w:before="0" w:after="0"/>
              <w:ind w:left="0" w:right="0" w:hanging="0"/>
              <w:jc w:val="left"/>
              <w:rPr/>
            </w:pPr>
            <w:hyperlink w:anchor="nl-20260805xex99d1.htm">
              <w:r>
                <w:rPr>
                  <w:rStyle w:val="InternetLink"/>
                  <w:rFonts w:ascii="Times New Roman;Times;serif" w:hAnsi="Times New Roman;Times;serif"/>
                  <w:b w:val="false"/>
                  <w:i w:val="false"/>
                  <w:caps w:val="false"/>
                  <w:smallCaps w:val="false"/>
                  <w:sz w:val="20"/>
                </w:rPr>
                <w:t>Press release dated August 5, 2026 entitled “NLI Reports Second Quarter 2026 Results” and issued by the registrant.</w:t>
              </w:r>
            </w:hyperlink>
          </w:p>
        </w:tc>
      </w:tr>
      <w:tr>
        <w:trPr/>
        <w:tc>
          <w:tcPr>
            <w:tcW w:w="323" w:type="dxa"/>
            <w:tcBorders/>
            <w:vAlign w:val="center"/>
          </w:tcPr>
          <w:p>
            <w:pPr>
              <w:pStyle w:val="TableContents"/>
              <w:bidi w:val="0"/>
              <w:spacing w:lineRule="auto" w:line="304" w:before="0" w:after="0"/>
              <w:ind w:left="0" w:right="0" w:hanging="0"/>
              <w:jc w:val="left"/>
              <w:rPr/>
            </w:pPr>
            <w:r>
              <w:rPr/>
              <w:t>​</w:t>
            </w:r>
          </w:p>
        </w:tc>
        <w:tc>
          <w:tcPr>
            <w:tcW w:w="814"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vAlign w:val="center"/>
          </w:tcPr>
          <w:p>
            <w:pPr>
              <w:pStyle w:val="TableContents"/>
              <w:bidi w:val="0"/>
              <w:spacing w:lineRule="auto" w:line="304" w:before="0" w:after="0"/>
              <w:ind w:left="0" w:right="0" w:hanging="0"/>
              <w:jc w:val="left"/>
              <w:rPr/>
            </w:pPr>
            <w:r>
              <w:rPr/>
              <w:t>​</w:t>
            </w:r>
          </w:p>
        </w:tc>
      </w:tr>
      <w:tr>
        <w:trPr/>
        <w:tc>
          <w:tcPr>
            <w:tcW w:w="323" w:type="dxa"/>
            <w:tcBorders/>
            <w:vAlign w:val="center"/>
          </w:tcPr>
          <w:p>
            <w:pPr>
              <w:pStyle w:val="TableContents"/>
              <w:bidi w:val="0"/>
              <w:spacing w:lineRule="auto" w:line="304" w:before="0" w:after="0"/>
              <w:ind w:left="0" w:right="0" w:hanging="0"/>
              <w:jc w:val="left"/>
              <w:rPr/>
            </w:pPr>
            <w:r>
              <w:rPr/>
              <w:t>​</w:t>
            </w:r>
          </w:p>
        </w:tc>
        <w:tc>
          <w:tcPr>
            <w:tcW w:w="814"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vAlign w:val="center"/>
          </w:tcPr>
          <w:p>
            <w:pPr>
              <w:pStyle w:val="TableContents"/>
              <w:bidi w:val="0"/>
              <w:spacing w:lineRule="auto" w:line="304" w:before="0" w:after="0"/>
              <w:ind w:left="0" w:right="0" w:hanging="0"/>
              <w:jc w:val="left"/>
              <w:rPr/>
            </w:pPr>
            <w:hyperlink w:anchor="nl-20260805xex99d2.htm">
              <w:r>
                <w:rPr>
                  <w:rStyle w:val="InternetLink"/>
                  <w:rFonts w:ascii="Times New Roman;Times;serif" w:hAnsi="Times New Roman;Times;serif"/>
                  <w:b w:val="false"/>
                  <w:i w:val="false"/>
                  <w:caps w:val="false"/>
                  <w:smallCaps w:val="false"/>
                  <w:spacing w:val="-3"/>
                  <w:sz w:val="20"/>
                </w:rPr>
                <w:t>Press release dated August 5, 2026 entitled “NLI Holdings Announces Quarterly Dividend for the Third Quarter of 2026 at $.10 Per Share” and issued by the registrant</w:t>
              </w:r>
            </w:hyperlink>
            <w:r>
              <w:rPr>
                <w:rFonts w:ascii="Times New Roman;Times;serif" w:hAnsi="Times New Roman;Times;serif"/>
                <w:spacing w:val="-3"/>
                <w:sz w:val="20"/>
              </w:rPr>
              <w:t>.</w:t>
            </w:r>
          </w:p>
        </w:tc>
      </w:tr>
      <w:tr>
        <w:trPr/>
        <w:tc>
          <w:tcPr>
            <w:tcW w:w="323" w:type="dxa"/>
            <w:tcBorders/>
            <w:vAlign w:val="center"/>
          </w:tcPr>
          <w:p>
            <w:pPr>
              <w:pStyle w:val="TableContents"/>
              <w:bidi w:val="0"/>
              <w:spacing w:lineRule="auto" w:line="304" w:before="0" w:after="0"/>
              <w:ind w:left="0" w:right="0" w:hanging="0"/>
              <w:jc w:val="left"/>
              <w:rPr/>
            </w:pPr>
            <w:r>
              <w:rPr/>
              <w:t>​</w:t>
            </w:r>
          </w:p>
        </w:tc>
        <w:tc>
          <w:tcPr>
            <w:tcW w:w="814" w:type="dxa"/>
            <w:tcBorders/>
            <w:vAlign w:val="center"/>
          </w:tcPr>
          <w:p>
            <w:pPr>
              <w:pStyle w:val="TableContents"/>
              <w:bidi w:val="0"/>
              <w:spacing w:lineRule="auto" w:line="304" w:before="0" w:after="0"/>
              <w:ind w:left="0" w:right="0" w:hanging="0"/>
              <w:jc w:val="center"/>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vAlign w:val="center"/>
          </w:tcPr>
          <w:p>
            <w:pPr>
              <w:pStyle w:val="TableContents"/>
              <w:bidi w:val="0"/>
              <w:spacing w:lineRule="auto" w:line="304" w:before="0" w:after="0"/>
              <w:ind w:left="0" w:right="0" w:hanging="0"/>
              <w:jc w:val="left"/>
              <w:rPr/>
            </w:pPr>
            <w:r>
              <w:rPr/>
              <w:t>​</w:t>
            </w:r>
          </w:p>
        </w:tc>
      </w:tr>
      <w:tr>
        <w:trPr/>
        <w:tc>
          <w:tcPr>
            <w:tcW w:w="323" w:type="dxa"/>
            <w:tcBorders/>
            <w:vAlign w:val="center"/>
          </w:tcPr>
          <w:p>
            <w:pPr>
              <w:pStyle w:val="TableContents"/>
              <w:bidi w:val="0"/>
              <w:spacing w:lineRule="auto" w:line="304" w:before="0" w:after="0"/>
              <w:ind w:left="0" w:right="0" w:hanging="0"/>
              <w:jc w:val="left"/>
              <w:rPr/>
            </w:pPr>
            <w:r>
              <w:rPr/>
              <w:t>​</w:t>
            </w:r>
          </w:p>
        </w:tc>
        <w:tc>
          <w:tcPr>
            <w:tcW w:w="814"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323" w:type="dxa"/>
            <w:tcBorders/>
            <w:vAlign w:val="center"/>
          </w:tcPr>
          <w:p>
            <w:pPr>
              <w:pStyle w:val="TableContents"/>
              <w:bidi w:val="0"/>
              <w:spacing w:lineRule="auto" w:line="304" w:before="0" w:after="0"/>
              <w:ind w:left="0" w:right="0" w:hanging="0"/>
              <w:jc w:val="left"/>
              <w:rPr/>
            </w:pPr>
            <w:r>
              <w:rPr/>
              <w:t>​</w:t>
            </w:r>
          </w:p>
        </w:tc>
        <w:tc>
          <w:tcPr>
            <w:tcW w:w="814"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8722" w:type="dxa"/>
            <w:tcBorders/>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3"/>
          <w:sz w:val="20"/>
        </w:rPr>
      </w:pPr>
      <w:bookmarkStart w:id="41" w:name="_6179c6e8_82c5_4e37_a821_2d3afc4a5545"/>
      <w:bookmarkEnd w:id="41"/>
      <w:r>
        <w:rPr>
          <w:rFonts w:ascii="Times New Roman;Times;serif" w:hAnsi="Times New Roman;Times;serif"/>
          <w:b/>
          <w:spacing w:val="-3"/>
          <w:sz w:val="20"/>
        </w:rPr>
        <w:t>SIGNATURE</w:t>
      </w:r>
    </w:p>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spacing w:val="-3"/>
        </w:rPr>
      </w:pPr>
      <w:r>
        <w:rPr>
          <w:spacing w:val="-3"/>
        </w:rPr>
        <w:t>​</w:t>
      </w:r>
    </w:p>
    <w:tbl>
      <w:tblPr>
        <w:tblW w:w="5507" w:type="dxa"/>
        <w:jc w:val="left"/>
        <w:tblInd w:w="0" w:type="dxa"/>
        <w:tblLayout w:type="fixed"/>
        <w:tblCellMar>
          <w:top w:w="0" w:type="dxa"/>
          <w:left w:w="0" w:type="dxa"/>
          <w:bottom w:w="0" w:type="dxa"/>
          <w:right w:w="0" w:type="dxa"/>
        </w:tblCellMar>
      </w:tblPr>
      <w:tblGrid>
        <w:gridCol w:w="1807"/>
        <w:gridCol w:w="3700"/>
      </w:tblGrid>
      <w:tr>
        <w:trPr/>
        <w:tc>
          <w:tcPr>
            <w:tcW w:w="1807" w:type="dxa"/>
            <w:tcBorders/>
            <w:vAlign w:val="center"/>
          </w:tcPr>
          <w:p>
            <w:pPr>
              <w:pStyle w:val="TableContents"/>
              <w:bidi w:val="0"/>
              <w:spacing w:lineRule="auto" w:line="328" w:before="0" w:after="0"/>
              <w:ind w:left="0" w:right="0" w:hanging="0"/>
              <w:jc w:val="left"/>
              <w:rPr/>
            </w:pPr>
            <w:r>
              <w:rPr/>
              <w:t>​</w:t>
            </w:r>
          </w:p>
        </w:tc>
        <w:tc>
          <w:tcPr>
            <w:tcW w:w="3700" w:type="dxa"/>
            <w:tcBorders/>
            <w:vAlign w:val="center"/>
          </w:tcPr>
          <w:p>
            <w:pPr>
              <w:pStyle w:val="TableContents"/>
              <w:bidi w:val="0"/>
              <w:spacing w:lineRule="auto" w:line="328" w:before="0" w:after="0"/>
              <w:ind w:left="0" w:right="0" w:hanging="0"/>
              <w:jc w:val="left"/>
              <w:rPr/>
            </w:pPr>
            <w:r>
              <w:rPr/>
              <w:t>​</w:t>
            </w:r>
          </w:p>
        </w:tc>
      </w:tr>
      <w:tr>
        <w:trPr/>
        <w:tc>
          <w:tcPr>
            <w:tcW w:w="1807" w:type="dxa"/>
            <w:tcBorders/>
            <w:vAlign w:val="center"/>
          </w:tcPr>
          <w:p>
            <w:pPr>
              <w:pStyle w:val="TableContents"/>
              <w:bidi w:val="0"/>
              <w:spacing w:lineRule="auto" w:line="328" w:before="0" w:after="0"/>
              <w:ind w:left="0" w:right="0" w:hanging="0"/>
              <w:jc w:val="left"/>
              <w:rPr>
                <w:smallCaps/>
                <w:spacing w:val="-3"/>
              </w:rPr>
            </w:pPr>
            <w:r>
              <w:rPr>
                <w:smallCaps/>
                <w:spacing w:val="-3"/>
              </w:rPr>
              <w:t>​</w:t>
            </w:r>
          </w:p>
        </w:tc>
        <w:tc>
          <w:tcPr>
            <w:tcW w:w="3700" w:type="dxa"/>
            <w:tcBorders/>
            <w:vAlign w:val="center"/>
          </w:tcPr>
          <w:p>
            <w:pPr>
              <w:pStyle w:val="TableContents"/>
              <w:bidi w:val="0"/>
              <w:spacing w:lineRule="auto" w:line="328" w:before="0" w:after="0"/>
              <w:ind w:left="0" w:right="0" w:hanging="0"/>
              <w:jc w:val="left"/>
              <w:rPr>
                <w:rFonts w:ascii="Times New Roman Bold" w:hAnsi="Times New Roman Bold"/>
                <w:b/>
                <w:smallCaps/>
                <w:spacing w:val="-3"/>
                <w:sz w:val="20"/>
              </w:rPr>
            </w:pPr>
            <w:r>
              <w:rPr>
                <w:rFonts w:ascii="Times New Roman Bold" w:hAnsi="Times New Roman Bold"/>
                <w:b/>
                <w:smallCaps/>
                <w:spacing w:val="-3"/>
                <w:sz w:val="20"/>
              </w:rPr>
              <w:t>NLI HOLDINGS, INC.</w:t>
            </w:r>
          </w:p>
        </w:tc>
      </w:tr>
      <w:tr>
        <w:trPr/>
        <w:tc>
          <w:tcPr>
            <w:tcW w:w="1807"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(Registrant)</w:t>
            </w:r>
          </w:p>
        </w:tc>
      </w:tr>
      <w:tr>
        <w:trPr/>
        <w:tc>
          <w:tcPr>
            <w:tcW w:w="1807"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1807"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1807"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spacing w:val="-3"/>
              </w:rPr>
            </w:pPr>
            <w:r>
              <w:rPr>
                <w:spacing w:val="-3"/>
              </w:rPr>
              <w:t>​</w:t>
            </w:r>
          </w:p>
        </w:tc>
      </w:tr>
      <w:tr>
        <w:trPr/>
        <w:tc>
          <w:tcPr>
            <w:tcW w:w="1807"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Date: August 5, 2026</w:t>
            </w:r>
          </w:p>
        </w:tc>
        <w:tc>
          <w:tcPr>
            <w:tcW w:w="3700" w:type="dxa"/>
            <w:tcBorders/>
            <w:vAlign w:val="center"/>
          </w:tcPr>
          <w:p>
            <w:pPr>
              <w:pStyle w:val="TableContents"/>
              <w:bidi w:val="0"/>
              <w:spacing w:lineRule="auto" w:line="328"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By: /s/Amy A. Samford                                      </w:t>
            </w:r>
          </w:p>
        </w:tc>
      </w:tr>
      <w:tr>
        <w:trPr/>
        <w:tc>
          <w:tcPr>
            <w:tcW w:w="1807" w:type="dxa"/>
            <w:tcBorders/>
            <w:vAlign w:val="center"/>
          </w:tcPr>
          <w:p>
            <w:pPr>
              <w:pStyle w:val="TableContents"/>
              <w:bidi w:val="0"/>
              <w:spacing w:lineRule="auto" w:line="328" w:before="0" w:after="0"/>
              <w:ind w:left="0" w:right="0" w:hanging="0"/>
              <w:jc w:val="left"/>
              <w:rPr>
                <w:spacing w:val="-3"/>
              </w:rPr>
            </w:pPr>
            <w:r>
              <w:rPr>
                <w:spacing w:val="-3"/>
              </w:rPr>
              <w:t>​</w:t>
            </w:r>
          </w:p>
        </w:tc>
        <w:tc>
          <w:tcPr>
            <w:tcW w:w="3700"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i/>
                <w:sz w:val="20"/>
              </w:rPr>
              <w:t xml:space="preserve">Executive Vice President and </w:t>
              <w:br/>
            </w:r>
            <w:r>
              <w:rPr>
                <w:rFonts w:ascii="Times New Roman;Times;serif" w:hAnsi="Times New Roman;Times;serif"/>
                <w:sz w:val="20"/>
              </w:rPr>
              <w:t xml:space="preserve">    </w:t>
            </w: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hanging="0"/>
        <w:jc w:val="left"/>
        <w:rPr>
          <w:spacing w:val="-3"/>
        </w:rPr>
      </w:pPr>
      <w:r>
        <w:rPr>
          <w:spacing w:val="-3"/>
        </w:rPr>
        <w:t>​</w:t>
      </w:r>
    </w:p>
    <w:p>
      <w:pPr>
        <w:pStyle w:val="TextBody"/>
        <w:bidi w:val="0"/>
        <w:spacing w:before="0" w:after="0"/>
        <w:ind w:left="7920" w:right="0" w:hanging="0"/>
        <w:jc w:val="left"/>
        <w:rPr>
          <w:rFonts w:ascii="Times New Roman;Times;serif" w:hAnsi="Times New Roman;Times;serif"/>
          <w:sz w:val="20"/>
        </w:rPr>
      </w:pPr>
      <w:bookmarkStart w:id="42" w:name="nl-20260805xex99d1.htm"/>
      <w:bookmarkStart w:id="43" w:name="ksnl20260805xex99d1"/>
      <w:bookmarkEnd w:id="42"/>
      <w:bookmarkEnd w:id="43"/>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9">
                <wp:simplePos x="0" y="0"/>
                <wp:positionH relativeFrom="page">
                  <wp:posOffset>0</wp:posOffset>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jc w:val="left"/>
        <w:rPr/>
      </w:pPr>
      <w:r>
        <w:rPr/>
        <w:drawing>
          <wp:inline distT="0" distB="0" distL="0" distR="0">
            <wp:extent cx="1090295" cy="111633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090295" cy="111633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NLI REPORTS SECOND QUARTER 2026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DALLAS, TEXAS – August 5, 2026 – NLI Holdings, Inc. (NYSE: NL) reported net income attributable to NLI stockholders of $9.0 million, or $.18 per share, in the second quarter of 2026 compared to $.3 million, or $.01 per share, in the second quarter of 2025. NLI’s results include an unrealized gain of $.5 million in the second quarter of 2026 related to the change in value of marketable equity securities compared to an unrealized loss of $.1 million in the second quarter of 2025. For the first six months of 2026, NLI reported net income attributable to NLI stockholders of $13.3 million, or $.27 per share, compared to $1.0 million, or $.02 per share for the first six months of 2025. NLI results include an unrealized gain of $3.1 million in the first six months of 2026 related to the change in value of marketable equity securities compared to an unrealized loss of $8.6 million in the first six months of 2025.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CompX’s net sales were $43.6 million for the second quarter of 2026 compared to $40.3 million in the second quarter of 2025 and $84.2 million for the first six months of 2026 compared to $80.6 million for the same prior year period. The increase in sales for both periods is due to higher Security Products sales across a variety of markets including the healthcare, transportation, tool storage and distributor markets and higher Marine Components sales to the industrial market. CompX’s segment profit was $8.9 million for the second quarter of 2026 compared to $6.3 million for the second quarter of 2025 and $16.0 million for the first six months of 2026 compared to $12.2 million for the same prior year period. CompX’s segment profit increased in the second quarter and for the first six months of 2026 compared to the same periods in 2025 due to higher sales and gross margin predominantly at the Security Products segment and to a lesser extent the Marine Components segment.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NLI recognized equity in earnings of Kronos of $4.6 million in the second quarter of 2026 compared to equity in losses of $2.8 million in the second quarter of 2025. NLI recognized equity in earnings of $3.2 million in the first six months of 2026 compared to $2.7 million in the same period of 2025. Kronos’ net sales of $558.1 million in the second quarter of 2026 were $63.7 million, or 13%, </w:t>
      </w:r>
      <w:r>
        <w:rPr>
          <w:rFonts w:ascii="Times New Roman;Times;serif" w:hAnsi="Times New Roman;Times;serif"/>
          <w:sz w:val="20"/>
          <w:shd w:fill="FFFFFF" w:val="clear"/>
        </w:rPr>
        <w:t>higher</w:t>
      </w:r>
      <w:r>
        <w:rPr>
          <w:rFonts w:ascii="Times New Roman;Times;serif" w:hAnsi="Times New Roman;Times;serif"/>
          <w:sz w:val="20"/>
        </w:rPr>
        <w:t xml:space="preserve"> than in the second quarter of 2025. Kronos’ net sales of $1.1 billion in the first six months of 2026 were $83.7 million, or 9% higher than the first six months of 2025. Kronos’ net sales increased in the second quarter and first six months of 2026 compared to the same periods of 2025 primarily due to market share gains across all markets and the favorable impact of changes in currency exchange rates (primarily the euro), which Kronos estimates increased its net sales by approximately $10 million and $41 million, respectively. These favorable impacts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and the unfavorable impact of both lower average selling prices and sales volumes within Kronos’ complementary businesses. Kronos started 2026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its average TiO</w:t>
      </w:r>
      <w:r>
        <w:rPr>
          <w:rFonts w:ascii="Times New Roman;Times;serif" w:hAnsi="Times New Roman;Times;serif"/>
          <w:sz w:val="15"/>
        </w:rPr>
        <w:t xml:space="preserve">2 </w:t>
      </w:r>
      <w:r>
        <w:rPr>
          <w:rFonts w:ascii="Times New Roman;Times;serif" w:hAnsi="Times New Roman;Times;serif"/>
          <w:sz w:val="20"/>
        </w:rPr>
        <w:t>selling prices increased 4% during the first six months of 2026. During the second quarter of 2026, Kronos announced and implemented various price increases and surcharges in response to higher operating costs. The table at the end of this press release shows how each of these items impacted Kronos’ net sales.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Kronos’ income from operations in the second quarter of 2026 was $37.6 million as compared to $7.4 million in the second quarter of 2025.</w:t>
      </w:r>
      <w:r>
        <w:rPr>
          <w:rFonts w:ascii="Times New Roman;Times;serif" w:hAnsi="Times New Roman;Times;serif"/>
          <w:sz w:val="20"/>
          <w:shd w:fill="FFFFFF" w:val="clear"/>
        </w:rPr>
        <w:t xml:space="preserve"> For the first six months of 2026, </w:t>
      </w:r>
      <w:r>
        <w:rPr>
          <w:rFonts w:ascii="Times New Roman;Times;serif" w:hAnsi="Times New Roman;Times;serif"/>
          <w:sz w:val="20"/>
        </w:rPr>
        <w:t>Kronos’ income from operations</w:t>
      </w:r>
      <w:r>
        <w:rPr>
          <w:rFonts w:ascii="Times New Roman;Times;serif" w:hAnsi="Times New Roman;Times;serif"/>
          <w:sz w:val="20"/>
          <w:shd w:fill="FFFFFF" w:val="clear"/>
        </w:rPr>
        <w:t xml:space="preserve"> was $50.2 million as compared to $45.8 million in the first six months of 2025. Kronos’ </w:t>
      </w:r>
      <w:r>
        <w:rPr>
          <w:rFonts w:ascii="Times New Roman;Times;serif" w:hAnsi="Times New Roman;Times;serif"/>
          <w:sz w:val="20"/>
        </w:rPr>
        <w:t>income from operations increased in both the second quarter and first six months of 2026 compared to corresponding 2025 periods primarily due to higher sales volumes, lower production costs, including lower raw material costs (primarily feedstock) and lower unabsorbed fixed costs, and the benefits of the cost reduction initiatives implemented in the fourth quarter of 2025 designed to permanently improve its cost structure and operational efficiency. These favorable factors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and the unfavorable impact of changes in currency exchange rates. Fluctuations in currency exchange rates (primarily the euro) decreased Kronos’ income from operations by approximately $12 million in the second quarter of 2026 and approximately $18 million in the first six months of 2026 compared to the same prior year periods.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Corporate expenses decreased $.7 million in the second quarter of 2026 compared to the second quarter of 2025 primarily due to lower environmental remediation and related costs. Corporate expenses decreased $.4 million in the first six months of 2026 compared to the same period of 2025 primarily due to lower environmental remediation and related costs, partially offset by higher general and administrative costs. Interest and dividend income decreased in the second quarter and for the </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- 1 -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first six months of 2026 compared to the same periods of 2025 primarily due to lower average interest rates and decreased cash balances. Marketable equity securities represent the change in unrealized gains (losses) on our portfolio of marketable equity securities during the periods.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statements in this release relating to matters that are not historical facts are forward-looking statements that represent management's beliefs and assumptions based on currently available information. Although we believe the expectations reflected in such forward-looking statements are reasonable, we cannot give any assurances that these expectations will prove to be correct. Such statements by their nature involve substantial risks and uncertainties that could significantly impact expected results, and actual future results could differ materially from those described in such forward-looking statements. While it is not possible to identify all factors, we continue to face many risks and uncertainties. Factors that could cause actual future results to differ materially include, but are not limited to:</w:t>
      </w:r>
    </w:p>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realize expected cost savings from strategic and operational initiatives;</w:t>
            </w:r>
          </w:p>
        </w:tc>
      </w:tr>
    </w:tbl>
    <w:tbl>
      <w:tblPr>
        <w:tblW w:w="8913" w:type="dxa"/>
        <w:jc w:val="left"/>
        <w:tblInd w:w="0" w:type="dxa"/>
        <w:tblLayout w:type="fixed"/>
        <w:tblCellMar>
          <w:top w:w="0" w:type="dxa"/>
          <w:left w:w="0" w:type="dxa"/>
          <w:bottom w:w="0" w:type="dxa"/>
          <w:right w:w="0" w:type="dxa"/>
        </w:tblCellMar>
      </w:tblPr>
      <w:tblGrid>
        <w:gridCol w:w="23"/>
        <w:gridCol w:w="170"/>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integrate acquisitions into its operations and realize expected synergies and innovations;</w:t>
            </w:r>
          </w:p>
        </w:tc>
      </w:tr>
    </w:tbl>
    <w:tbl>
      <w:tblPr>
        <w:tblW w:w="6963" w:type="dxa"/>
        <w:jc w:val="left"/>
        <w:tblInd w:w="0" w:type="dxa"/>
        <w:tblLayout w:type="fixed"/>
        <w:tblCellMar>
          <w:top w:w="0" w:type="dxa"/>
          <w:left w:w="0" w:type="dxa"/>
          <w:bottom w:w="0" w:type="dxa"/>
          <w:right w:w="0" w:type="dxa"/>
        </w:tblCellMar>
      </w:tblPr>
      <w:tblGrid>
        <w:gridCol w:w="23"/>
        <w:gridCol w:w="170"/>
        <w:gridCol w:w="6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cyclicality of our businesses (such as Kronos’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operations);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7773" w:type="dxa"/>
        <w:jc w:val="left"/>
        <w:tblInd w:w="0" w:type="dxa"/>
        <w:tblLayout w:type="fixed"/>
        <w:tblCellMar>
          <w:top w:w="0" w:type="dxa"/>
          <w:left w:w="0" w:type="dxa"/>
          <w:bottom w:w="0" w:type="dxa"/>
          <w:right w:w="0" w:type="dxa"/>
        </w:tblCellMar>
      </w:tblPr>
      <w:tblGrid>
        <w:gridCol w:w="23"/>
        <w:gridCol w:w="170"/>
        <w:gridCol w:w="7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Unexpected or earlier-than-expected industry capacity expansion (such as the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industry);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raw material and other operating costs (such as energy, ore, zinc, aluminum, steel and brass costs) or the implementation of tariffs on imported raw materials and our ability to pass those costs on to our customers or offset them with reductions in other operating costs;</w:t>
            </w:r>
          </w:p>
        </w:tc>
      </w:tr>
    </w:tbl>
    <w:tbl>
      <w:tblPr>
        <w:tblW w:w="4848" w:type="dxa"/>
        <w:jc w:val="left"/>
        <w:tblInd w:w="0" w:type="dxa"/>
        <w:tblLayout w:type="fixed"/>
        <w:tblCellMar>
          <w:top w:w="0" w:type="dxa"/>
          <w:left w:w="0" w:type="dxa"/>
          <w:bottom w:w="0" w:type="dxa"/>
          <w:right w:w="0" w:type="dxa"/>
        </w:tblCellMar>
      </w:tblPr>
      <w:tblGrid>
        <w:gridCol w:w="23"/>
        <w:gridCol w:w="17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or reduce demand or perceived demand for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and our products or impair our ability to operate our facilities (including changes in the level of gross domestic product in various regions of the world, tariffs,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w:t>
            </w:r>
          </w:p>
        </w:tc>
      </w:tr>
    </w:tbl>
    <w:tbl>
      <w:tblPr>
        <w:tblW w:w="3978" w:type="dxa"/>
        <w:jc w:val="left"/>
        <w:tblInd w:w="0" w:type="dxa"/>
        <w:tblLayout w:type="fixed"/>
        <w:tblCellMar>
          <w:top w:w="0" w:type="dxa"/>
          <w:left w:w="0" w:type="dxa"/>
          <w:bottom w:w="0" w:type="dxa"/>
          <w:right w:w="0" w:type="dxa"/>
        </w:tblCellMar>
      </w:tblPr>
      <w:tblGrid>
        <w:gridCol w:w="23"/>
        <w:gridCol w:w="170"/>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273" w:type="dxa"/>
        <w:jc w:val="left"/>
        <w:tblInd w:w="0" w:type="dxa"/>
        <w:tblLayout w:type="fixed"/>
        <w:tblCellMar>
          <w:top w:w="0" w:type="dxa"/>
          <w:left w:w="0" w:type="dxa"/>
          <w:bottom w:w="0" w:type="dxa"/>
          <w:right w:w="0" w:type="dxa"/>
        </w:tblCellMar>
      </w:tblPr>
      <w:tblGrid>
        <w:gridCol w:w="23"/>
        <w:gridCol w:w="170"/>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Kronos’ competitors;</w:t>
            </w:r>
          </w:p>
        </w:tc>
      </w:tr>
    </w:tbl>
    <w:tbl>
      <w:tblPr>
        <w:tblW w:w="3933" w:type="dxa"/>
        <w:jc w:val="left"/>
        <w:tblInd w:w="0" w:type="dxa"/>
        <w:tblLayout w:type="fixed"/>
        <w:tblCellMar>
          <w:top w:w="0" w:type="dxa"/>
          <w:left w:w="0" w:type="dxa"/>
          <w:bottom w:w="0" w:type="dxa"/>
          <w:right w:w="0" w:type="dxa"/>
        </w:tblCellMar>
      </w:tblPr>
      <w:tblGrid>
        <w:gridCol w:w="23"/>
        <w:gridCol w:w="17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Kronos’ customers;</w:t>
            </w:r>
          </w:p>
        </w:tc>
      </w:tr>
    </w:tbl>
    <w:tbl>
      <w:tblPr>
        <w:tblW w:w="4128" w:type="dxa"/>
        <w:jc w:val="left"/>
        <w:tblInd w:w="0" w:type="dxa"/>
        <w:tblLayout w:type="fixed"/>
        <w:tblCellMar>
          <w:top w:w="0" w:type="dxa"/>
          <w:left w:w="0" w:type="dxa"/>
          <w:bottom w:w="0" w:type="dxa"/>
          <w:right w:w="0" w:type="dxa"/>
        </w:tblCellMar>
      </w:tblPr>
      <w:tblGrid>
        <w:gridCol w:w="23"/>
        <w:gridCol w:w="17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p>
      <w:pPr>
        <w:pStyle w:val="TextBody"/>
        <w:bidi w:val="0"/>
        <w:spacing w:before="0" w:after="0"/>
        <w:ind w:left="720" w:right="0" w:hanging="0"/>
        <w:jc w:val="center"/>
        <w:rPr/>
      </w:pPr>
      <w:r>
        <w:rPr/>
        <w:t>​</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013" w:type="dxa"/>
        <w:jc w:val="left"/>
        <w:tblInd w:w="0" w:type="dxa"/>
        <w:tblLayout w:type="fixed"/>
        <w:tblCellMar>
          <w:top w:w="0" w:type="dxa"/>
          <w:left w:w="0" w:type="dxa"/>
          <w:bottom w:w="0" w:type="dxa"/>
          <w:right w:w="0" w:type="dxa"/>
        </w:tblCellMar>
      </w:tblPr>
      <w:tblGrid>
        <w:gridCol w:w="23"/>
        <w:gridCol w:w="170"/>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intellectual property rights;</w:t>
            </w:r>
          </w:p>
        </w:tc>
      </w:tr>
    </w:tbl>
    <w:tbl>
      <w:tblPr>
        <w:tblW w:w="4653" w:type="dxa"/>
        <w:jc w:val="left"/>
        <w:tblInd w:w="0" w:type="dxa"/>
        <w:tblLayout w:type="fixed"/>
        <w:tblCellMar>
          <w:top w:w="0" w:type="dxa"/>
          <w:left w:w="0" w:type="dxa"/>
          <w:bottom w:w="0" w:type="dxa"/>
          <w:right w:w="0" w:type="dxa"/>
        </w:tblCellMar>
      </w:tblPr>
      <w:tblGrid>
        <w:gridCol w:w="23"/>
        <w:gridCol w:w="17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7188" w:type="dxa"/>
        <w:jc w:val="left"/>
        <w:tblInd w:w="0" w:type="dxa"/>
        <w:tblLayout w:type="fixed"/>
        <w:tblCellMar>
          <w:top w:w="0" w:type="dxa"/>
          <w:left w:w="0" w:type="dxa"/>
          <w:bottom w:w="0" w:type="dxa"/>
          <w:right w:w="0" w:type="dxa"/>
        </w:tblCellMar>
      </w:tblPr>
      <w:tblGrid>
        <w:gridCol w:w="23"/>
        <w:gridCol w:w="17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tbl>
      <w:tblPr>
        <w:tblW w:w="6573" w:type="dxa"/>
        <w:jc w:val="left"/>
        <w:tblInd w:w="0" w:type="dxa"/>
        <w:tblLayout w:type="fixed"/>
        <w:tblCellMar>
          <w:top w:w="0" w:type="dxa"/>
          <w:left w:w="0" w:type="dxa"/>
          <w:bottom w:w="0" w:type="dxa"/>
          <w:right w:w="0" w:type="dxa"/>
        </w:tblCellMar>
      </w:tblPr>
      <w:tblGrid>
        <w:gridCol w:w="23"/>
        <w:gridCol w:w="170"/>
        <w:gridCol w:w="63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7608" w:type="dxa"/>
        <w:jc w:val="left"/>
        <w:tblInd w:w="0" w:type="dxa"/>
        <w:tblLayout w:type="fixed"/>
        <w:tblCellMar>
          <w:top w:w="0" w:type="dxa"/>
          <w:left w:w="0" w:type="dxa"/>
          <w:bottom w:w="0" w:type="dxa"/>
          <w:right w:w="0" w:type="dxa"/>
        </w:tblCellMar>
      </w:tblPr>
      <w:tblGrid>
        <w:gridCol w:w="23"/>
        <w:gridCol w:w="170"/>
        <w:gridCol w:w="7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renew or refinance credit facilities or other debt instruments in the future;</w:t>
            </w:r>
          </w:p>
        </w:tc>
      </w:tr>
    </w:tbl>
    <w:tbl>
      <w:tblPr>
        <w:tblW w:w="2253" w:type="dxa"/>
        <w:jc w:val="left"/>
        <w:tblInd w:w="0" w:type="dxa"/>
        <w:tblLayout w:type="fixed"/>
        <w:tblCellMar>
          <w:top w:w="0" w:type="dxa"/>
          <w:left w:w="0" w:type="dxa"/>
          <w:bottom w:w="0" w:type="dxa"/>
          <w:right w:w="0" w:type="dxa"/>
        </w:tblCellMar>
      </w:tblPr>
      <w:tblGrid>
        <w:gridCol w:w="23"/>
        <w:gridCol w:w="17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7383" w:type="dxa"/>
        <w:jc w:val="left"/>
        <w:tblInd w:w="0" w:type="dxa"/>
        <w:tblLayout w:type="fixed"/>
        <w:tblCellMar>
          <w:top w:w="0" w:type="dxa"/>
          <w:left w:w="0" w:type="dxa"/>
          <w:bottom w:w="0" w:type="dxa"/>
          <w:right w:w="0" w:type="dxa"/>
        </w:tblCellMar>
      </w:tblPr>
      <w:tblGrid>
        <w:gridCol w:w="23"/>
        <w:gridCol w:w="170"/>
        <w:gridCol w:w="7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Kronos’ ability to comply with covenants contained in its revolving bank credit facility;</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tbl>
      <w:tblPr>
        <w:tblW w:w="4158" w:type="dxa"/>
        <w:jc w:val="left"/>
        <w:tblInd w:w="0" w:type="dxa"/>
        <w:tblLayout w:type="fixed"/>
        <w:tblCellMar>
          <w:top w:w="0" w:type="dxa"/>
          <w:left w:w="0" w:type="dxa"/>
          <w:bottom w:w="0" w:type="dxa"/>
          <w:right w:w="0" w:type="dxa"/>
        </w:tblCellMar>
      </w:tblPr>
      <w:tblGrid>
        <w:gridCol w:w="23"/>
        <w:gridCol w:w="170"/>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amounts of insurance recoveries;</w:t>
            </w:r>
          </w:p>
        </w:tc>
      </w:tr>
    </w:tbl>
    <w:tbl>
      <w:tblPr>
        <w:tblW w:w="5298" w:type="dxa"/>
        <w:jc w:val="left"/>
        <w:tblInd w:w="0" w:type="dxa"/>
        <w:tblLayout w:type="fixed"/>
        <w:tblCellMar>
          <w:top w:w="0" w:type="dxa"/>
          <w:left w:w="0" w:type="dxa"/>
          <w:bottom w:w="0" w:type="dxa"/>
          <w:right w:w="0" w:type="dxa"/>
        </w:tblCellMar>
      </w:tblPr>
      <w:tblGrid>
        <w:gridCol w:w="23"/>
        <w:gridCol w:w="170"/>
        <w:gridCol w:w="5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subsidiaries or affiliates to pay us dividends;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CompX’s development of new products and product features;</w:t>
            </w:r>
          </w:p>
        </w:tc>
      </w:tr>
    </w:tbl>
    <w:tbl>
      <w:tblPr>
        <w:tblW w:w="9738" w:type="dxa"/>
        <w:jc w:val="left"/>
        <w:tblInd w:w="0" w:type="dxa"/>
        <w:tblLayout w:type="fixed"/>
        <w:tblCellMar>
          <w:top w:w="0" w:type="dxa"/>
          <w:left w:w="0" w:type="dxa"/>
          <w:bottom w:w="0" w:type="dxa"/>
          <w:right w:w="0" w:type="dxa"/>
        </w:tblCellMar>
      </w:tblPr>
      <w:tblGrid>
        <w:gridCol w:w="23"/>
        <w:gridCol w:w="170"/>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or changes in income tax rates related to such attributes, the benefits of which may or may not have been recognized under the more-likely-than-not recognition criteria;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 or new developments regarding environmental remediation or decommissioning obligations at sites related to our former operations);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Government laws and regulations and possible changes therein (such as changes in government regulations which might impose various obligations on former manufacturers of lead pigment and lead-based paint, including us, with respect to asserted health concerns associated with the use of such products), 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or its use);</w:t>
            </w:r>
          </w:p>
        </w:tc>
      </w:tr>
    </w:tbl>
    <w:tbl>
      <w:tblPr>
        <w:tblW w:w="8643" w:type="dxa"/>
        <w:jc w:val="left"/>
        <w:tblInd w:w="0" w:type="dxa"/>
        <w:tblLayout w:type="fixed"/>
        <w:tblCellMar>
          <w:top w:w="0" w:type="dxa"/>
          <w:left w:w="0" w:type="dxa"/>
          <w:bottom w:w="0" w:type="dxa"/>
          <w:right w:w="0" w:type="dxa"/>
        </w:tblCellMar>
      </w:tblPr>
      <w:tblGrid>
        <w:gridCol w:w="23"/>
        <w:gridCol w:w="170"/>
        <w:gridCol w:w="8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resolution of pending litigation (such as our lead pigment and environmental matters);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CompX’s use of certain permitted chemicals in its production process) or other actions.</w:t>
            </w:r>
          </w:p>
        </w:tc>
      </w:tr>
    </w:tbl>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Should one or more of these risks materialize (or if the consequences of such a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NLI Holdings, Inc. is engaged in component products (security products and recreational marine components) and chemicals (TiO</w:t>
      </w:r>
      <w:r>
        <w:rPr>
          <w:rFonts w:ascii="Times New Roman;Times;serif" w:hAnsi="Times New Roman;Times;serif"/>
          <w:sz w:val="15"/>
        </w:rPr>
        <w:t>2</w:t>
      </w:r>
      <w:r>
        <w:rPr>
          <w:rFonts w:ascii="Times New Roman;Times;serif" w:hAnsi="Times New Roman;Times;serif"/>
          <w:sz w:val="20"/>
        </w:rPr>
        <w:t>) businesses.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Bryan A. Hanley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Senior Vice President and Treasurer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(972) 233-1700</w:t>
      </w:r>
    </w:p>
    <w:p>
      <w:pPr>
        <w:pStyle w:val="TextBody"/>
        <w:bidi w:val="0"/>
        <w:spacing w:before="0" w:after="0"/>
        <w:ind w:left="720" w:right="0" w:hanging="0"/>
        <w:jc w:val="center"/>
        <w:rPr/>
      </w:pPr>
      <w:r>
        <w:rPr/>
        <w:t>​</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20"/>
        <w:ind w:left="0" w:right="0" w:hanging="0"/>
        <w:jc w:val="center"/>
        <w:rPr/>
      </w:pPr>
      <w:r>
        <w:rPr/>
        <w:t>​</w:t>
      </w:r>
      <w:r>
        <w:rPr>
          <w:rFonts w:ascii="Times New Roman;Times;serif" w:hAnsi="Times New Roman;Times;serif"/>
          <w:b/>
          <w:sz w:val="20"/>
        </w:rPr>
        <w:br/>
        <w:t>NLI HOLDINGS,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 except earnings per share)</w:t>
      </w:r>
    </w:p>
    <w:tbl>
      <w:tblPr>
        <w:tblW w:w="9112" w:type="dxa"/>
        <w:jc w:val="left"/>
        <w:tblInd w:w="0" w:type="dxa"/>
        <w:tblLayout w:type="fixed"/>
        <w:tblCellMar>
          <w:top w:w="0" w:type="dxa"/>
          <w:left w:w="0" w:type="dxa"/>
          <w:bottom w:w="0" w:type="dxa"/>
          <w:right w:w="0" w:type="dxa"/>
        </w:tblCellMar>
      </w:tblPr>
      <w:tblGrid>
        <w:gridCol w:w="4786"/>
        <w:gridCol w:w="346"/>
        <w:gridCol w:w="223"/>
        <w:gridCol w:w="509"/>
        <w:gridCol w:w="366"/>
        <w:gridCol w:w="223"/>
        <w:gridCol w:w="493"/>
        <w:gridCol w:w="346"/>
        <w:gridCol w:w="211"/>
        <w:gridCol w:w="481"/>
        <w:gridCol w:w="346"/>
        <w:gridCol w:w="211"/>
        <w:gridCol w:w="571"/>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039110" cy="175260"/>
                      <wp:effectExtent l="0" t="0" r="0" b="0"/>
                      <wp:wrapNone/>
                      <wp:docPr id="8" name="Frame7"/>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1605" cy="175260"/>
                      <wp:effectExtent l="0" t="0" r="0" b="0"/>
                      <wp:wrapNone/>
                      <wp:docPr id="10" name="Frame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23215" cy="175260"/>
                      <wp:effectExtent l="0" t="0" r="0" b="0"/>
                      <wp:wrapNone/>
                      <wp:docPr id="11" name="Frame10"/>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2410" cy="175260"/>
                      <wp:effectExtent l="0" t="0" r="0" b="0"/>
                      <wp:wrapNone/>
                      <wp:docPr id="12" name="Frame11"/>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1605" cy="175260"/>
                      <wp:effectExtent l="0" t="0" r="0" b="0"/>
                      <wp:wrapNone/>
                      <wp:docPr id="13" name="Frame1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13055" cy="175260"/>
                      <wp:effectExtent l="0" t="0" r="0" b="0"/>
                      <wp:wrapNone/>
                      <wp:docPr id="14" name="Frame13"/>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05435" cy="175260"/>
                      <wp:effectExtent l="0" t="0" r="0" b="0"/>
                      <wp:wrapNone/>
                      <wp:docPr id="17" name="Frame1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62585" cy="175260"/>
                      <wp:effectExtent l="0" t="0" r="0" b="0"/>
                      <wp:wrapNone/>
                      <wp:docPr id="20" name="Frame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1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46" w:type="dxa"/>
            <w:tcBorders/>
            <w:vAlign w:val="center"/>
          </w:tcPr>
          <w:p>
            <w:pPr>
              <w:pStyle w:val="TableContents"/>
              <w:bidi w:val="0"/>
              <w:spacing w:before="0" w:after="0"/>
              <w:ind w:left="0" w:right="0" w:hanging="0"/>
              <w:jc w:val="left"/>
              <w:rPr/>
            </w:pPr>
            <w:r>
              <w:rPr/>
              <w:t>  ​ ​ ​</w:t>
            </w:r>
          </w:p>
        </w:tc>
        <w:tc>
          <w:tcPr>
            <w:tcW w:w="182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46" w:type="dxa"/>
            <w:tcBorders/>
            <w:vAlign w:val="center"/>
          </w:tcPr>
          <w:p>
            <w:pPr>
              <w:pStyle w:val="TableContents"/>
              <w:bidi w:val="0"/>
              <w:spacing w:before="0" w:after="0"/>
              <w:ind w:left="0" w:right="0" w:hanging="0"/>
              <w:jc w:val="left"/>
              <w:rPr/>
            </w:pPr>
            <w:r>
              <w:rPr/>
              <w:t>  ​ ​ ​</w:t>
            </w:r>
          </w:p>
        </w:tc>
        <w:tc>
          <w:tcPr>
            <w:tcW w:w="1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6" w:type="dxa"/>
            <w:tcBorders/>
            <w:vAlign w:val="center"/>
          </w:tcPr>
          <w:p>
            <w:pPr>
              <w:pStyle w:val="TableContents"/>
              <w:bidi w:val="0"/>
              <w:spacing w:before="0" w:after="0"/>
              <w:ind w:left="0" w:right="0" w:hanging="0"/>
              <w:jc w:val="left"/>
              <w:rPr/>
            </w:pPr>
            <w:r>
              <w:rPr/>
              <w:t>  ​ ​ ​</w:t>
            </w:r>
          </w:p>
        </w:tc>
        <w:tc>
          <w:tcPr>
            <w:tcW w:w="7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84.2</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6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55.4</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5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w:t>
            </w:r>
          </w:p>
        </w:tc>
      </w:tr>
      <w:tr>
        <w:trPr/>
        <w:tc>
          <w:tcPr>
            <w:tcW w:w="47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5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(losses) of Kronos Worldwide, Inc.</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r>
      <w:tr>
        <w:trPr/>
        <w:tc>
          <w:tcPr>
            <w:tcW w:w="4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cost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 </w:t>
            </w:r>
          </w:p>
        </w:tc>
        <w:tc>
          <w:tcPr>
            <w:tcW w:w="4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 in net income of subsidiary</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NLI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NLI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4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4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shares used in the calculation of </w:t>
              <w:br/>
              <w:t>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6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48.9</w:t>
            </w:r>
          </w:p>
        </w:tc>
      </w:tr>
    </w:tbl>
    <w:p>
      <w:pPr>
        <w:pStyle w:val="TextBody"/>
        <w:bidi w:val="0"/>
        <w:spacing w:before="0" w:after="120"/>
        <w:ind w:left="0" w:right="0" w:hanging="0"/>
        <w:jc w:val="center"/>
        <w:rPr/>
      </w:pPr>
      <w:r>
        <w:rPr/>
        <w:t>​</w:t>
      </w:r>
    </w:p>
    <w:p>
      <w:pPr>
        <w:pStyle w:val="TextBody"/>
        <w:bidi w:val="0"/>
        <w:spacing w:before="0" w:after="120"/>
        <w:ind w:left="0" w:right="0" w:hanging="0"/>
        <w:jc w:val="center"/>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720" w:right="0" w:hanging="0"/>
        <w:jc w:val="center"/>
        <w:rPr/>
      </w:pPr>
      <w:r>
        <w:rPr/>
        <w:t>​</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NLI HOLDINGS,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COMPONENTS OF INCOME FROM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millions)</w:t>
      </w:r>
    </w:p>
    <w:tbl>
      <w:tblPr>
        <w:tblW w:w="6366" w:type="dxa"/>
        <w:jc w:val="left"/>
        <w:tblInd w:w="0" w:type="dxa"/>
        <w:tblLayout w:type="fixed"/>
        <w:tblCellMar>
          <w:top w:w="0" w:type="dxa"/>
          <w:left w:w="0" w:type="dxa"/>
          <w:bottom w:w="0" w:type="dxa"/>
          <w:right w:w="0" w:type="dxa"/>
        </w:tblCellMar>
      </w:tblPr>
      <w:tblGrid>
        <w:gridCol w:w="2041"/>
        <w:gridCol w:w="346"/>
        <w:gridCol w:w="221"/>
        <w:gridCol w:w="504"/>
        <w:gridCol w:w="363"/>
        <w:gridCol w:w="221"/>
        <w:gridCol w:w="504"/>
        <w:gridCol w:w="346"/>
        <w:gridCol w:w="211"/>
        <w:gridCol w:w="481"/>
        <w:gridCol w:w="346"/>
        <w:gridCol w:w="211"/>
        <w:gridCol w:w="57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96035" cy="175260"/>
                      <wp:effectExtent l="0" t="0" r="0" b="0"/>
                      <wp:wrapNone/>
                      <wp:docPr id="21" name="Frame20"/>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0335" cy="175260"/>
                      <wp:effectExtent l="0" t="0" r="0" b="0"/>
                      <wp:wrapNone/>
                      <wp:docPr id="23" name="Frame2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0040" cy="175260"/>
                      <wp:effectExtent l="0" t="0" r="0" b="0"/>
                      <wp:wrapNone/>
                      <wp:docPr id="24" name="Frame23"/>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0505" cy="175260"/>
                      <wp:effectExtent l="0" t="0" r="0" b="0"/>
                      <wp:wrapNone/>
                      <wp:docPr id="25" name="Frame2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0335" cy="175260"/>
                      <wp:effectExtent l="0" t="0" r="0" b="0"/>
                      <wp:wrapNone/>
                      <wp:docPr id="26" name="Frame2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20040" cy="175260"/>
                      <wp:effectExtent l="0" t="0" r="0" b="0"/>
                      <wp:wrapNone/>
                      <wp:docPr id="27" name="Frame26"/>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8"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05435" cy="175260"/>
                      <wp:effectExtent l="0" t="0" r="0" b="0"/>
                      <wp:wrapNone/>
                      <wp:docPr id="30" name="Frame2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1"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62585" cy="175260"/>
                      <wp:effectExtent l="0" t="0" r="0" b="0"/>
                      <wp:wrapNone/>
                      <wp:docPr id="33"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46" w:type="dxa"/>
            <w:tcBorders/>
            <w:vAlign w:val="center"/>
          </w:tcPr>
          <w:p>
            <w:pPr>
              <w:pStyle w:val="TableContents"/>
              <w:bidi w:val="0"/>
              <w:spacing w:before="0" w:after="0"/>
              <w:ind w:left="0" w:right="0" w:hanging="0"/>
              <w:jc w:val="left"/>
              <w:rPr/>
            </w:pPr>
            <w:r>
              <w:rPr/>
              <w:t>​</w:t>
            </w:r>
          </w:p>
        </w:tc>
        <w:tc>
          <w:tcPr>
            <w:tcW w:w="182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46" w:type="dxa"/>
            <w:tcBorders/>
            <w:vAlign w:val="center"/>
          </w:tcPr>
          <w:p>
            <w:pPr>
              <w:pStyle w:val="TableContents"/>
              <w:bidi w:val="0"/>
              <w:spacing w:before="0" w:after="0"/>
              <w:ind w:left="0" w:right="0" w:hanging="0"/>
              <w:jc w:val="left"/>
              <w:rPr/>
            </w:pPr>
            <w:r>
              <w:rPr/>
              <w:t>​</w:t>
            </w:r>
          </w:p>
        </w:tc>
        <w:tc>
          <w:tcPr>
            <w:tcW w:w="1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20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3" w:type="dxa"/>
            <w:tcBorders/>
            <w:vAlign w:val="center"/>
          </w:tcPr>
          <w:p>
            <w:pPr>
              <w:pStyle w:val="TableContents"/>
              <w:bidi w:val="0"/>
              <w:spacing w:before="0" w:after="0"/>
              <w:ind w:left="0" w:right="0" w:hanging="0"/>
              <w:jc w:val="left"/>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63"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w:t>
            </w:r>
          </w:p>
        </w:tc>
      </w:tr>
      <w:tr>
        <w:trPr/>
        <w:tc>
          <w:tcPr>
            <w:tcW w:w="20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3"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10.2</w:t>
            </w:r>
          </w:p>
        </w:tc>
      </w:tr>
    </w:tbl>
    <w:p>
      <w:pPr>
        <w:pStyle w:val="TextBody"/>
        <w:bidi w:val="0"/>
        <w:spacing w:before="0" w:after="12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IMPACT OF PERCENTAGE CHANGE IN KRONOS’ NET SALES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7190" w:type="dxa"/>
        <w:jc w:val="left"/>
        <w:tblInd w:w="0" w:type="dxa"/>
        <w:tblLayout w:type="fixed"/>
        <w:tblCellMar>
          <w:top w:w="0" w:type="dxa"/>
          <w:left w:w="0" w:type="dxa"/>
          <w:bottom w:w="0" w:type="dxa"/>
          <w:right w:w="0" w:type="dxa"/>
        </w:tblCellMar>
      </w:tblPr>
      <w:tblGrid>
        <w:gridCol w:w="3031"/>
        <w:gridCol w:w="1816"/>
        <w:gridCol w:w="361"/>
        <w:gridCol w:w="1576"/>
        <w:gridCol w:w="40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924685" cy="175260"/>
                      <wp:effectExtent l="0" t="0" r="0" b="0"/>
                      <wp:wrapNone/>
                      <wp:docPr id="34" name="Frame33"/>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153160" cy="175260"/>
                      <wp:effectExtent l="0" t="0" r="0" b="0"/>
                      <wp:wrapNone/>
                      <wp:docPr id="35" name="Frame34"/>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9235" cy="175260"/>
                      <wp:effectExtent l="0" t="0" r="0" b="0"/>
                      <wp:wrapNone/>
                      <wp:docPr id="36" name="Frame3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000760" cy="175260"/>
                      <wp:effectExtent l="0" t="0" r="0" b="0"/>
                      <wp:wrapNone/>
                      <wp:docPr id="37" name="Frame3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57810" cy="175260"/>
                      <wp:effectExtent l="0" t="0" r="0" b="0"/>
                      <wp:wrapNone/>
                      <wp:docPr id="38" name="Frame3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61"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c>
          <w:tcPr>
            <w:tcW w:w="406" w:type="dxa"/>
            <w:tcBorders/>
            <w:vAlign w:val="center"/>
          </w:tcPr>
          <w:p>
            <w:pPr>
              <w:pStyle w:val="TableContents"/>
              <w:bidi w:val="0"/>
              <w:spacing w:before="0" w:after="0"/>
              <w:ind w:left="0" w:right="0" w:hanging="0"/>
              <w:jc w:val="left"/>
              <w:rPr/>
            </w:pPr>
            <w:r>
              <w:rPr/>
              <w:t>  ​ ​ ​</w: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61"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406"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c>
          <w:tcPr>
            <w:tcW w:w="361"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c>
          <w:tcPr>
            <w:tcW w:w="406"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change in net sales:</w:t>
            </w:r>
          </w:p>
        </w:tc>
        <w:tc>
          <w:tcPr>
            <w:tcW w:w="181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sales volume</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pricing</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6"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1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0"/>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3031"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720" w:right="0" w:hanging="0"/>
        <w:jc w:val="center"/>
        <w:rPr/>
      </w:pPr>
      <w:r>
        <w:rPr/>
        <w:t>​</w:t>
      </w:r>
    </w:p>
    <w:p>
      <w:pPr>
        <w:pStyle w:val="TextBody"/>
        <w:bidi w:val="0"/>
        <w:spacing w:before="0" w:after="0"/>
        <w:ind w:left="720" w:right="0" w:hanging="0"/>
        <w:jc w:val="center"/>
        <w:rPr>
          <w:rFonts w:ascii="Times New Roman;Times;serif" w:hAnsi="Times New Roman;Times;serif"/>
          <w:sz w:val="20"/>
        </w:rPr>
      </w:pPr>
      <w:r>
        <w:rPr>
          <w:rFonts w:ascii="Times New Roman;Times;serif" w:hAnsi="Times New Roman;Times;serif"/>
          <w:sz w:val="20"/>
        </w:rPr>
        <w:t>- 5 -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44" w:name="nl-20260805xex99d2.htm"/>
      <w:bookmarkStart w:id="45" w:name="ksnl20260805xex99d2"/>
      <w:bookmarkEnd w:id="44"/>
      <w:bookmarkEnd w:id="45"/>
      <w:r>
        <w:rPr/>
        <w:t>​</w:t>
      </w:r>
      <w:r>
        <w:br w:type="page"/>
      </w:r>
    </w:p>
    <w:tbl>
      <w:tblPr>
        <w:tblW w:w="2067" w:type="dxa"/>
        <w:jc w:val="left"/>
        <w:tblInd w:w="0" w:type="dxa"/>
        <w:tblLayout w:type="fixed"/>
        <w:tblCellMar>
          <w:top w:w="0" w:type="dxa"/>
          <w:left w:w="0" w:type="dxa"/>
          <w:bottom w:w="0" w:type="dxa"/>
          <w:right w:w="0" w:type="dxa"/>
        </w:tblCellMar>
      </w:tblPr>
      <w:tblGrid>
        <w:gridCol w:w="2067"/>
      </w:tblGrid>
      <w:tr>
        <w:trPr/>
        <w:tc>
          <w:tcPr>
            <w:tcW w:w="2067" w:type="dxa"/>
            <w:tcBorders/>
            <w:vAlign w:val="center"/>
          </w:tcPr>
          <w:p>
            <w:pPr>
              <w:pStyle w:val="TableContents"/>
              <w:bidi w:val="0"/>
              <w:spacing w:before="0" w:after="0"/>
              <w:ind w:left="0" w:right="0" w:hanging="0"/>
              <w:jc w:val="left"/>
              <w:rPr/>
            </w:pPr>
            <w:r>
              <w:rPr/>
              <w:drawing>
                <wp:inline distT="0" distB="0" distL="0" distR="0">
                  <wp:extent cx="1219835" cy="1256665"/>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3"/>
                          <a:stretch>
                            <a:fillRect/>
                          </a:stretch>
                        </pic:blipFill>
                        <pic:spPr bwMode="auto">
                          <a:xfrm>
                            <a:off x="0" y="0"/>
                            <a:ext cx="1219835" cy="125666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NLI HOLDINGS ANNOUNCES QUARTERLY DIVIDEND</w:t>
      </w:r>
    </w:p>
    <w:p>
      <w:pPr>
        <w:pStyle w:val="TextBody"/>
        <w:bidi w:val="0"/>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FOR THE THIRD QUARTER OF 2026 AT $.10 PER SHARE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DALLAS, TEXAS – August 5, 2026 –  NLI Holdings, Inc. (NYSE: NL) today announced that its board of directors has declared a quarterly dividend of ten cents ($0.10) per share on its common stock, payable on September 22, 2026 to stockholders of record at the close of business on September 3, 2026.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NLI Holdings, Inc. is engaged in the component products (security products and recreational marine components) and chemicals (TiO</w:t>
      </w:r>
      <w:r>
        <w:rPr>
          <w:rFonts w:ascii="Times New Roman;Times;serif" w:hAnsi="Times New Roman;Times;serif"/>
          <w:sz w:val="18"/>
        </w:rPr>
        <w:t>2</w:t>
      </w:r>
      <w:r>
        <w:rPr>
          <w:rFonts w:ascii="Times New Roman;Times;serif" w:hAnsi="Times New Roman;Times;serif"/>
          <w:sz w:val="24"/>
        </w:rPr>
        <w:t>) businesses.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spacing w:val="-2"/>
          <w:sz w:val="22"/>
        </w:rPr>
      </w:pPr>
      <w:r>
        <w:rPr>
          <w:rFonts w:ascii="Times New Roman;Times;serif" w:hAnsi="Times New Roman;Times;serif"/>
          <w:spacing w:val="-2"/>
          <w:sz w:val="22"/>
        </w:rPr>
        <w:t>* * * *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2909</Words>
  <Characters>15585</Characters>
  <CharactersWithSpaces>18923</CharactersWithSpaces>
  <Paragraphs>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