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2" w:space="1" w:color="000000"/>
        </w:pBdr>
        <w:bidi w:val="0"/>
        <w:spacing w:before="0" w:after="0"/>
        <w:ind w:left="0" w:right="0" w:hanging="0"/>
        <w:jc w:val="center"/>
        <w:rPr>
          <w:bdr w:val="single" w:sz="8" w:space="2" w:color="000000"/>
        </w:rPr>
      </w:pPr>
      <w:bookmarkStart w:id="0" w:name="_b3358b53_67d7_436f_8c04_0c71d069b10d"/>
      <w:bookmarkStart w:id="1" w:name="nl-20260506x8k.htm"/>
      <w:bookmarkStart w:id="2" w:name="ksnl20260506x8k"/>
      <w:bookmarkEnd w:id="0"/>
      <w:bookmarkEnd w:id="1"/>
      <w:bookmarkEnd w:id="2"/>
      <w:r>
        <w:rPr>
          <w:bdr w:val="single" w:sz="8" w:space="2" w:color="000000"/>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lineRule="auto" w:line="144"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May 6,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val="false"/>
          <w:smallCaps/>
          <w:sz w:val="36"/>
        </w:rPr>
      </w:pPr>
      <w:r>
        <w:rPr>
          <w:rFonts w:ascii="Times New Roman;Times;serif" w:hAnsi="Times New Roman;Times;serif"/>
          <w:b/>
          <w:i w:val="false"/>
          <w:smallCaps/>
          <w:sz w:val="36"/>
        </w:rPr>
        <w:t>NL Industries,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eze0VABE0kOF58y4K4H0lQ_2_2"/>
      <w:bookmarkStart w:id="4" w:name="Tc_CtdCb7J7a0a4Pex1d96aPg_2_1"/>
      <w:bookmarkStart w:id="5" w:name="Tc_7-Oqm4DytE-heQIPmWMTFA_2_0"/>
      <w:bookmarkStart w:id="6" w:name="_858b5da4_1d65_44c5_82bd_f9c2068764f7"/>
      <w:bookmarkStart w:id="7" w:name="Tc_eze0VABE0kOF58y4K4H0lQ_2_2"/>
      <w:bookmarkStart w:id="8" w:name="Tc_CtdCb7J7a0a4Pex1d96aPg_2_1"/>
      <w:bookmarkStart w:id="9" w:name="Tc_7-Oqm4DytE-heQIPmWMTFA_2_0"/>
      <w:bookmarkStart w:id="10" w:name="_858b5da4_1d65_44c5_82bd_f9c2068764f7"/>
      <w:bookmarkEnd w:id="7"/>
      <w:bookmarkEnd w:id="8"/>
      <w:bookmarkEnd w:id="9"/>
      <w:bookmarkEnd w:id="10"/>
    </w:p>
    <w:tbl>
      <w:tblPr>
        <w:tblW w:w="5088" w:type="dxa"/>
        <w:jc w:val="left"/>
        <w:tblInd w:w="0" w:type="dxa"/>
        <w:tblLayout w:type="fixed"/>
        <w:tblCellMar>
          <w:top w:w="0" w:type="dxa"/>
          <w:left w:w="0" w:type="dxa"/>
          <w:bottom w:w="0" w:type="dxa"/>
          <w:right w:w="0" w:type="dxa"/>
        </w:tblCellMar>
      </w:tblPr>
      <w:tblGrid>
        <w:gridCol w:w="2251"/>
        <w:gridCol w:w="1186"/>
        <w:gridCol w:w="1651"/>
      </w:tblGrid>
      <w:tr>
        <w:trPr/>
        <w:tc>
          <w:tcPr>
            <w:tcW w:w="225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New Jersey</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1-640</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13-5267260</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HDTpDLB5UUukNMsLa7ABNQ_2_1"/>
      <w:bookmarkStart w:id="12" w:name="Tc_Ibn7HzJk-k2sF-DzRHi6nQ_2_0"/>
      <w:bookmarkStart w:id="13" w:name="Tc_AuwP9e3Mc0W-2VFxMH7L2w_1_0"/>
      <w:bookmarkStart w:id="14" w:name="_7a222b6a_4a52_4c9e_8e8c_a0ceaa03d16b"/>
      <w:bookmarkStart w:id="15" w:name="Tc_HDTpDLB5UUukNMsLa7ABNQ_2_1"/>
      <w:bookmarkStart w:id="16" w:name="Tc_Ibn7HzJk-k2sF-DzRHi6nQ_2_0"/>
      <w:bookmarkStart w:id="17" w:name="Tc_AuwP9e3Mc0W-2VFxMH7L2w_1_0"/>
      <w:bookmarkStart w:id="18" w:name="_7a222b6a_4a52_4c9e_8e8c_a0ceaa03d16b"/>
      <w:bookmarkEnd w:id="15"/>
      <w:bookmarkEnd w:id="16"/>
      <w:bookmarkEnd w:id="17"/>
      <w:bookmarkEnd w:id="18"/>
    </w:p>
    <w:tbl>
      <w:tblPr>
        <w:tblW w:w="6002" w:type="dxa"/>
        <w:jc w:val="left"/>
        <w:tblInd w:w="0" w:type="dxa"/>
        <w:tblLayout w:type="fixed"/>
        <w:tblCellMar>
          <w:top w:w="0" w:type="dxa"/>
          <w:left w:w="0" w:type="dxa"/>
          <w:bottom w:w="0" w:type="dxa"/>
          <w:right w:w="0" w:type="dxa"/>
        </w:tblCellMar>
      </w:tblPr>
      <w:tblGrid>
        <w:gridCol w:w="4696"/>
        <w:gridCol w:w="1306"/>
      </w:tblGrid>
      <w:tr>
        <w:trPr/>
        <w:tc>
          <w:tcPr>
            <w:tcW w:w="469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233-1700</w:t>
      </w:r>
    </w:p>
    <w:tbl>
      <w:tblPr>
        <w:tblW w:w="5483" w:type="dxa"/>
        <w:jc w:val="left"/>
        <w:tblInd w:w="0" w:type="dxa"/>
        <w:tblLayout w:type="fixed"/>
        <w:tblCellMar>
          <w:top w:w="0" w:type="dxa"/>
          <w:left w:w="0" w:type="dxa"/>
          <w:bottom w:w="0" w:type="dxa"/>
          <w:right w:w="0" w:type="dxa"/>
        </w:tblCellMar>
      </w:tblPr>
      <w:tblGrid>
        <w:gridCol w:w="221"/>
        <w:gridCol w:w="5011"/>
        <w:gridCol w:w="251"/>
      </w:tblGrid>
      <w:tr>
        <w:trPr/>
        <w:tc>
          <w:tcPr>
            <w:tcW w:w="221"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r>
      <w:tr>
        <w:trPr/>
        <w:tc>
          <w:tcPr>
            <w:tcW w:w="221" w:type="dxa"/>
            <w:tcBorders/>
            <w:vAlign w:val="center"/>
          </w:tcPr>
          <w:p>
            <w:pPr>
              <w:pStyle w:val="TableContents"/>
              <w:bidi w:val="0"/>
              <w:spacing w:before="0" w:after="0"/>
              <w:ind w:left="0" w:right="0" w:hanging="0"/>
              <w:jc w:val="left"/>
              <w:rPr/>
            </w:pPr>
            <w:r>
              <w:rPr/>
              <w:t xml:space="preserve">  </w:t>
            </w:r>
          </w:p>
        </w:tc>
        <w:tc>
          <w:tcPr>
            <w:tcW w:w="50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xml:space="preserve">  </w:t>
            </w:r>
          </w:p>
        </w:tc>
      </w:tr>
      <w:tr>
        <w:trPr/>
        <w:tc>
          <w:tcPr>
            <w:tcW w:w="221" w:type="dxa"/>
            <w:tcBorders/>
            <w:vAlign w:val="center"/>
          </w:tcPr>
          <w:p>
            <w:pPr>
              <w:pStyle w:val="TableContents"/>
              <w:bidi w:val="0"/>
              <w:spacing w:before="0" w:after="0"/>
              <w:ind w:left="0" w:right="0" w:hanging="0"/>
              <w:jc w:val="left"/>
              <w:rPr/>
            </w:pPr>
            <w:r>
              <w:rPr/>
              <w:t xml:space="preserve">  </w:t>
            </w:r>
          </w:p>
        </w:tc>
        <w:tc>
          <w:tcPr>
            <w:tcW w:w="5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251"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AfC0NQFLHkam0HDu9PPDFQ_7_1"/>
      <w:bookmarkStart w:id="20" w:name="Tc_9EXWJV2R8USzscBNdjruNQ_5_1"/>
      <w:bookmarkStart w:id="21" w:name="Tc__HnGV2TYzEaD_1pAfbsHzw_3_1"/>
      <w:bookmarkStart w:id="22" w:name="Tc_0LuMc8oEzUuXIK1sHcFr8Q_1_1"/>
      <w:bookmarkStart w:id="23" w:name="_92d2b128_0f23_46e6_bfb9_6e704b0cddfe"/>
      <w:bookmarkStart w:id="24" w:name="Tc_AfC0NQFLHkam0HDu9PPDFQ_7_1"/>
      <w:bookmarkStart w:id="25" w:name="Tc_9EXWJV2R8USzscBNdjruNQ_5_1"/>
      <w:bookmarkStart w:id="26" w:name="Tc__HnGV2TYzEaD_1pAfbsHzw_3_1"/>
      <w:bookmarkStart w:id="27" w:name="Tc_0LuMc8oEzUuXIK1sHcFr8Q_1_1"/>
      <w:bookmarkStart w:id="28" w:name="_92d2b128_0f23_46e6_bfb9_6e704b0cddfe"/>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pPr>
            <w:r>
              <w:rPr/>
              <w:t xml:space="preserve">  </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pPr>
            <w:r>
              <w:rPr/>
              <w:t xml:space="preserve">  </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pPr>
            <w:r>
              <w:rPr/>
              <w:t xml:space="preserve">  </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QFhHW2_vK0etC1Ass6FhxA_1_4"/>
      <w:bookmarkStart w:id="30" w:name="Tc_2CERd2wL1kiVh5eMhJWOaA_1_2"/>
      <w:bookmarkStart w:id="31" w:name="Tc_bIh5drVr0UKc-3YRDCxXoA_1_0"/>
      <w:bookmarkStart w:id="32" w:name="_a49c76f0_9025_4f83_843f_1aa546ea718a"/>
      <w:bookmarkStart w:id="33" w:name="Tc_QFhHW2_vK0etC1Ass6FhxA_1_4"/>
      <w:bookmarkStart w:id="34" w:name="Tc_2CERd2wL1kiVh5eMhJWOaA_1_2"/>
      <w:bookmarkStart w:id="35" w:name="Tc_bIh5drVr0UKc-3YRDCxXoA_1_0"/>
      <w:bookmarkStart w:id="36" w:name="_a49c76f0_9025_4f83_843f_1aa546ea718a"/>
      <w:bookmarkEnd w:id="33"/>
      <w:bookmarkEnd w:id="34"/>
      <w:bookmarkEnd w:id="35"/>
      <w:bookmarkEnd w:id="36"/>
    </w:p>
    <w:tbl>
      <w:tblPr>
        <w:tblW w:w="5990" w:type="dxa"/>
        <w:jc w:val="left"/>
        <w:tblInd w:w="0" w:type="dxa"/>
        <w:tblLayout w:type="fixed"/>
        <w:tblCellMar>
          <w:top w:w="0" w:type="dxa"/>
          <w:left w:w="0" w:type="dxa"/>
          <w:bottom w:w="0" w:type="dxa"/>
          <w:right w:w="0" w:type="dxa"/>
        </w:tblCellMar>
      </w:tblPr>
      <w:tblGrid>
        <w:gridCol w:w="1396"/>
        <w:gridCol w:w="226"/>
        <w:gridCol w:w="826"/>
        <w:gridCol w:w="226"/>
        <w:gridCol w:w="331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886460" cy="175260"/>
                      <wp:effectExtent l="0" t="0" r="0" b="0"/>
                      <wp:wrapNone/>
                      <wp:docPr id="1" name="Frame1"/>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3510" cy="175260"/>
                      <wp:effectExtent l="0" t="0" r="0" b="0"/>
                      <wp:wrapNone/>
                      <wp:docPr id="2" name="Frame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24510" cy="350520"/>
                      <wp:effectExtent l="0" t="0" r="0" b="0"/>
                      <wp:wrapNone/>
                      <wp:docPr id="3" name="Frame3"/>
                      <a:graphic xmlns:a="http://schemas.openxmlformats.org/drawingml/2006/main">
                        <a:graphicData uri="http://schemas.microsoft.com/office/word/2010/wordprocessingShape">
                          <wps:wsp>
                            <wps:cNvSpPr txBox="1"/>
                            <wps:spPr>
                              <a:xfrm>
                                <a:off x="0" y="0"/>
                                <a:ext cx="524510"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3510" cy="175260"/>
                      <wp:effectExtent l="0" t="0" r="0" b="0"/>
                      <wp:wrapNone/>
                      <wp:docPr id="4"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05660" cy="175260"/>
                      <wp:effectExtent l="0" t="0" r="0" b="0"/>
                      <wp:wrapNone/>
                      <wp:docPr id="5" name="Frame5"/>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22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NL</w:t>
            </w:r>
          </w:p>
        </w:tc>
        <w:tc>
          <w:tcPr>
            <w:tcW w:w="226" w:type="dxa"/>
            <w:tcBorders/>
            <w:vAlign w:val="center"/>
          </w:tcPr>
          <w:p>
            <w:pPr>
              <w:pStyle w:val="TableContents"/>
              <w:bidi w:val="0"/>
              <w:spacing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New York Stock Exchange</w:t>
            </w:r>
          </w:p>
        </w:tc>
      </w:tr>
    </w:tbl>
    <w:p>
      <w:pPr>
        <w:pStyle w:val="TextBody"/>
        <w:bidi w:val="0"/>
        <w:spacing w:lineRule="auto" w:line="144"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pBdr>
          <w:bottom w:val="single" w:sz="12" w:space="1" w:color="000000"/>
        </w:pBdr>
        <w:bidi w:val="0"/>
        <w:spacing w:before="0" w:after="0"/>
        <w:ind w:left="0" w:right="0" w:hanging="0"/>
        <w:jc w:val="left"/>
        <w:rPr>
          <w:rFonts w:ascii="Times New Roman;Times;serif" w:hAnsi="Times New Roman;Times;serif"/>
          <w:sz w:val="20"/>
          <w:bdr w:val="single" w:sz="8" w:space="2" w:color="000000"/>
        </w:rPr>
      </w:pPr>
      <w:r>
        <w:rPr>
          <w:rFonts w:ascii="Times New Roman;Times;serif" w:hAnsi="Times New Roman;Times;serif"/>
          <w:sz w:val="20"/>
          <w:bdr w:val="single" w:sz="8" w:space="2" w:color="00000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rFonts w:ascii="Times New Roman;Times;serif" w:hAnsi="Times New Roman;Times;serif"/>
          <w:sz w:val="20"/>
        </w:rPr>
      </w:pPr>
      <w:bookmarkStart w:id="37" w:name="_0cfc3a67_60d5_48aa_bb18_822a3efa30ad"/>
      <w:bookmarkEnd w:id="37"/>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hereby furnishes the information set forth in its press release entitled “NL Reports First Quarter 2026 Results” issued on May 6, 2026, a copy of which is attached hereto as Exhibit 99.1 and incorporated herein by reference.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38" w:name="_2577cc10_5c48_49f6_9267_7ba25bf8e0af"/>
      <w:bookmarkEnd w:id="38"/>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3"/>
        <w:gridCol w:w="824"/>
        <w:gridCol w:w="346"/>
        <w:gridCol w:w="8692"/>
      </w:tblGrid>
      <w:tr>
        <w:trPr/>
        <w:tc>
          <w:tcPr>
            <w:tcW w:w="343" w:type="dxa"/>
            <w:tcBorders/>
            <w:vAlign w:val="center"/>
          </w:tcPr>
          <w:p>
            <w:pPr>
              <w:pStyle w:val="TableContents"/>
              <w:bidi w:val="0"/>
              <w:spacing w:lineRule="auto" w:line="304" w:before="0" w:after="0"/>
              <w:ind w:left="0" w:right="0" w:hanging="0"/>
              <w:jc w:val="left"/>
              <w:rPr/>
            </w:pPr>
            <w:r>
              <w:rPr/>
              <w:t>​</w:t>
            </w:r>
          </w:p>
        </w:tc>
        <w:tc>
          <w:tcPr>
            <w:tcW w:w="824"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692" w:type="dxa"/>
            <w:tcBorders/>
            <w:vAlign w:val="center"/>
          </w:tcPr>
          <w:p>
            <w:pPr>
              <w:pStyle w:val="TableContents"/>
              <w:bidi w:val="0"/>
              <w:spacing w:lineRule="auto" w:line="304" w:before="0" w:after="0"/>
              <w:ind w:left="0" w:right="0" w:hanging="0"/>
              <w:jc w:val="left"/>
              <w:rPr/>
            </w:pPr>
            <w:r>
              <w:rPr/>
              <w:t>​</w:t>
            </w:r>
          </w:p>
        </w:tc>
      </w:tr>
      <w:tr>
        <w:trPr/>
        <w:tc>
          <w:tcPr>
            <w:tcW w:w="3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824"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c>
          <w:tcPr>
            <w:tcW w:w="346" w:type="dxa"/>
            <w:tcBorders/>
            <w:vAlign w:val="center"/>
          </w:tcPr>
          <w:p>
            <w:pPr>
              <w:pStyle w:val="TableContents"/>
              <w:bidi w:val="0"/>
              <w:spacing w:lineRule="auto" w:line="304" w:before="0" w:after="0"/>
              <w:ind w:left="0" w:right="0" w:hanging="0"/>
              <w:jc w:val="left"/>
              <w:rPr/>
            </w:pPr>
            <w:r>
              <w:rPr/>
              <w:t>​</w:t>
            </w:r>
          </w:p>
        </w:tc>
        <w:tc>
          <w:tcPr>
            <w:tcW w:w="8692" w:type="dxa"/>
            <w:tcBorders/>
            <w:vAlign w:val="center"/>
          </w:tcPr>
          <w:p>
            <w:pPr>
              <w:pStyle w:val="TableContents"/>
              <w:bidi w:val="0"/>
              <w:spacing w:lineRule="auto" w:line="304" w:before="0" w:after="0"/>
              <w:ind w:left="0" w:right="0" w:hanging="0"/>
              <w:jc w:val="left"/>
              <w:rPr/>
            </w:pPr>
            <w:r>
              <w:rPr/>
              <w:t>​</w:t>
            </w:r>
          </w:p>
        </w:tc>
      </w:tr>
      <w:tr>
        <w:trPr/>
        <w:tc>
          <w:tcPr>
            <w:tcW w:w="343" w:type="dxa"/>
            <w:tcBorders/>
            <w:vAlign w:val="center"/>
          </w:tcPr>
          <w:p>
            <w:pPr>
              <w:pStyle w:val="TableContents"/>
              <w:bidi w:val="0"/>
              <w:spacing w:lineRule="auto" w:line="304" w:before="0" w:after="0"/>
              <w:ind w:left="0" w:right="0" w:hanging="0"/>
              <w:jc w:val="left"/>
              <w:rPr/>
            </w:pPr>
            <w:r>
              <w:rPr/>
              <w:t>​</w:t>
            </w:r>
          </w:p>
        </w:tc>
        <w:tc>
          <w:tcPr>
            <w:tcW w:w="824"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692" w:type="dxa"/>
            <w:tcBorders/>
            <w:vAlign w:val="center"/>
          </w:tcPr>
          <w:p>
            <w:pPr>
              <w:pStyle w:val="TableContents"/>
              <w:bidi w:val="0"/>
              <w:spacing w:lineRule="auto" w:line="304" w:before="0" w:after="0"/>
              <w:ind w:left="0" w:right="0" w:hanging="0"/>
              <w:jc w:val="left"/>
              <w:rPr/>
            </w:pPr>
            <w:r>
              <w:rPr/>
              <w:t>​</w:t>
            </w:r>
          </w:p>
        </w:tc>
      </w:tr>
      <w:tr>
        <w:trPr/>
        <w:tc>
          <w:tcPr>
            <w:tcW w:w="343" w:type="dxa"/>
            <w:tcBorders/>
            <w:vAlign w:val="center"/>
          </w:tcPr>
          <w:p>
            <w:pPr>
              <w:pStyle w:val="TableContents"/>
              <w:bidi w:val="0"/>
              <w:spacing w:lineRule="auto" w:line="304" w:before="0" w:after="0"/>
              <w:ind w:left="0" w:right="0" w:hanging="0"/>
              <w:jc w:val="center"/>
              <w:rPr/>
            </w:pPr>
            <w:r>
              <w:rPr/>
              <w:t>​</w:t>
            </w:r>
          </w:p>
        </w:tc>
        <w:tc>
          <w:tcPr>
            <w:tcW w:w="824"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Item No.</w:t>
            </w:r>
          </w:p>
        </w:tc>
        <w:tc>
          <w:tcPr>
            <w:tcW w:w="346" w:type="dxa"/>
            <w:tcBorders/>
            <w:vAlign w:val="center"/>
          </w:tcPr>
          <w:p>
            <w:pPr>
              <w:pStyle w:val="TableContents"/>
              <w:bidi w:val="0"/>
              <w:spacing w:lineRule="auto" w:line="304" w:before="0" w:after="0"/>
              <w:ind w:left="0" w:right="0" w:hanging="0"/>
              <w:jc w:val="left"/>
              <w:rPr/>
            </w:pPr>
            <w:r>
              <w:rPr/>
              <w:t>  ​ ​ ​</w:t>
            </w:r>
          </w:p>
        </w:tc>
        <w:tc>
          <w:tcPr>
            <w:tcW w:w="8692"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343" w:type="dxa"/>
            <w:tcBorders/>
            <w:vAlign w:val="center"/>
          </w:tcPr>
          <w:p>
            <w:pPr>
              <w:pStyle w:val="TableContents"/>
              <w:bidi w:val="0"/>
              <w:spacing w:lineRule="auto" w:line="304" w:before="0" w:after="0"/>
              <w:ind w:left="0" w:right="0" w:hanging="0"/>
              <w:jc w:val="left"/>
              <w:rPr/>
            </w:pPr>
            <w:r>
              <w:rPr/>
              <w:t>​</w:t>
            </w:r>
          </w:p>
        </w:tc>
        <w:tc>
          <w:tcPr>
            <w:tcW w:w="824" w:type="dxa"/>
            <w:tcBorders>
              <w:top w:val="single" w:sz="2" w:space="0" w:color="000000"/>
            </w:tcBorders>
            <w:tcMar>
              <w:top w:w="28" w:type="dxa"/>
            </w:tcMar>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692" w:type="dxa"/>
            <w:tcBorders>
              <w:top w:val="single" w:sz="2" w:space="0" w:color="000000"/>
            </w:tcBorders>
            <w:tcMar>
              <w:top w:w="28" w:type="dxa"/>
            </w:tcMar>
            <w:vAlign w:val="center"/>
          </w:tcPr>
          <w:p>
            <w:pPr>
              <w:pStyle w:val="TableContents"/>
              <w:bidi w:val="0"/>
              <w:spacing w:lineRule="auto" w:line="304" w:before="0" w:after="0"/>
              <w:ind w:left="0" w:right="0" w:hanging="0"/>
              <w:jc w:val="left"/>
              <w:rPr/>
            </w:pPr>
            <w:r>
              <w:rPr/>
              <w:t>​</w:t>
            </w:r>
          </w:p>
        </w:tc>
      </w:tr>
      <w:tr>
        <w:trPr/>
        <w:tc>
          <w:tcPr>
            <w:tcW w:w="343" w:type="dxa"/>
            <w:tcBorders/>
            <w:vAlign w:val="center"/>
          </w:tcPr>
          <w:p>
            <w:pPr>
              <w:pStyle w:val="TableContents"/>
              <w:bidi w:val="0"/>
              <w:spacing w:lineRule="auto" w:line="304" w:before="0" w:after="0"/>
              <w:ind w:left="0" w:right="0" w:hanging="0"/>
              <w:jc w:val="left"/>
              <w:rPr/>
            </w:pPr>
            <w:r>
              <w:rPr/>
              <w:t>​</w:t>
            </w:r>
          </w:p>
        </w:tc>
        <w:tc>
          <w:tcPr>
            <w:tcW w:w="824"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lineRule="auto" w:line="304" w:before="0" w:after="0"/>
              <w:ind w:left="0" w:right="0" w:hanging="0"/>
              <w:jc w:val="left"/>
              <w:rPr/>
            </w:pPr>
            <w:r>
              <w:rPr/>
              <w:t>​</w:t>
            </w:r>
          </w:p>
        </w:tc>
        <w:tc>
          <w:tcPr>
            <w:tcW w:w="8692" w:type="dxa"/>
            <w:tcBorders/>
            <w:vAlign w:val="center"/>
          </w:tcPr>
          <w:p>
            <w:pPr>
              <w:pStyle w:val="TableContents"/>
              <w:bidi w:val="0"/>
              <w:spacing w:lineRule="auto" w:line="304" w:before="0" w:after="0"/>
              <w:ind w:left="0" w:right="0" w:hanging="0"/>
              <w:jc w:val="left"/>
              <w:rPr/>
            </w:pPr>
            <w:hyperlink w:anchor="nl-20260506xex99d1.htm">
              <w:r>
                <w:rPr>
                  <w:rStyle w:val="InternetLink"/>
                  <w:rFonts w:ascii="Times New Roman;Times;serif" w:hAnsi="Times New Roman;Times;serif"/>
                  <w:b w:val="false"/>
                  <w:i w:val="false"/>
                  <w:caps w:val="false"/>
                  <w:smallCaps w:val="false"/>
                  <w:sz w:val="20"/>
                </w:rPr>
                <w:t>Press release dated May 6, 2026 entitled “NL Reports First Quarter 2026 Results” and issued by the registrant.</w:t>
              </w:r>
            </w:hyperlink>
          </w:p>
        </w:tc>
      </w:tr>
      <w:tr>
        <w:trPr/>
        <w:tc>
          <w:tcPr>
            <w:tcW w:w="343" w:type="dxa"/>
            <w:tcBorders/>
            <w:vAlign w:val="center"/>
          </w:tcPr>
          <w:p>
            <w:pPr>
              <w:pStyle w:val="TableContents"/>
              <w:bidi w:val="0"/>
              <w:spacing w:lineRule="auto" w:line="304" w:before="0" w:after="0"/>
              <w:ind w:left="0" w:right="0" w:hanging="0"/>
              <w:jc w:val="left"/>
              <w:rPr/>
            </w:pPr>
            <w:r>
              <w:rPr/>
              <w:t>​</w:t>
            </w:r>
          </w:p>
        </w:tc>
        <w:tc>
          <w:tcPr>
            <w:tcW w:w="824"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692" w:type="dxa"/>
            <w:tcBorders/>
            <w:vAlign w:val="center"/>
          </w:tcPr>
          <w:p>
            <w:pPr>
              <w:pStyle w:val="TableContents"/>
              <w:bidi w:val="0"/>
              <w:spacing w:lineRule="auto" w:line="304" w:before="0" w:after="0"/>
              <w:ind w:left="0" w:right="0" w:hanging="0"/>
              <w:jc w:val="left"/>
              <w:rPr/>
            </w:pPr>
            <w:r>
              <w:rPr/>
              <w:t>​</w:t>
            </w:r>
          </w:p>
        </w:tc>
      </w:tr>
      <w:tr>
        <w:trPr/>
        <w:tc>
          <w:tcPr>
            <w:tcW w:w="343" w:type="dxa"/>
            <w:tcBorders/>
            <w:vAlign w:val="center"/>
          </w:tcPr>
          <w:p>
            <w:pPr>
              <w:pStyle w:val="TableContents"/>
              <w:bidi w:val="0"/>
              <w:spacing w:lineRule="auto" w:line="304" w:before="0" w:after="0"/>
              <w:ind w:left="0" w:right="0" w:hanging="0"/>
              <w:jc w:val="left"/>
              <w:rPr/>
            </w:pPr>
            <w:r>
              <w:rPr/>
              <w:t>​</w:t>
            </w:r>
          </w:p>
        </w:tc>
        <w:tc>
          <w:tcPr>
            <w:tcW w:w="824"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04" w:before="0" w:after="0"/>
              <w:ind w:left="0" w:right="0" w:hanging="0"/>
              <w:jc w:val="left"/>
              <w:rPr/>
            </w:pPr>
            <w:r>
              <w:rPr/>
              <w:t>​</w:t>
            </w:r>
          </w:p>
        </w:tc>
        <w:tc>
          <w:tcPr>
            <w:tcW w:w="869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343" w:type="dxa"/>
            <w:tcBorders/>
            <w:vAlign w:val="center"/>
          </w:tcPr>
          <w:p>
            <w:pPr>
              <w:pStyle w:val="TableContents"/>
              <w:bidi w:val="0"/>
              <w:spacing w:lineRule="auto" w:line="304" w:before="0" w:after="0"/>
              <w:ind w:left="0" w:right="0" w:hanging="0"/>
              <w:jc w:val="left"/>
              <w:rPr/>
            </w:pPr>
            <w:r>
              <w:rPr/>
              <w:t>​</w:t>
            </w:r>
          </w:p>
        </w:tc>
        <w:tc>
          <w:tcPr>
            <w:tcW w:w="824"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692"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3"/>
          <w:sz w:val="20"/>
        </w:rPr>
      </w:pPr>
      <w:bookmarkStart w:id="39" w:name="_b721f278_0a43_4586_975e_21d76248322d"/>
      <w:bookmarkEnd w:id="39"/>
      <w:r>
        <w:rPr>
          <w:rFonts w:ascii="Times New Roman;Times;serif" w:hAnsi="Times New Roman;Times;serif"/>
          <w:b/>
          <w:spacing w:val="-3"/>
          <w:sz w:val="20"/>
        </w:rPr>
        <w:t>SIGNATURE</w:t>
      </w:r>
    </w:p>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spacing w:val="-3"/>
        </w:rPr>
      </w:pPr>
      <w:r>
        <w:rPr>
          <w:spacing w:val="-3"/>
        </w:rPr>
        <w:t>​</w:t>
      </w:r>
    </w:p>
    <w:tbl>
      <w:tblPr>
        <w:tblW w:w="5306" w:type="dxa"/>
        <w:jc w:val="left"/>
        <w:tblInd w:w="0" w:type="dxa"/>
        <w:tblLayout w:type="fixed"/>
        <w:tblCellMar>
          <w:top w:w="0" w:type="dxa"/>
          <w:left w:w="0" w:type="dxa"/>
          <w:bottom w:w="0" w:type="dxa"/>
          <w:right w:w="0" w:type="dxa"/>
        </w:tblCellMar>
      </w:tblPr>
      <w:tblGrid>
        <w:gridCol w:w="1606"/>
        <w:gridCol w:w="3700"/>
      </w:tblGrid>
      <w:tr>
        <w:trPr/>
        <w:tc>
          <w:tcPr>
            <w:tcW w:w="1606" w:type="dxa"/>
            <w:tcBorders/>
            <w:vAlign w:val="center"/>
          </w:tcPr>
          <w:p>
            <w:pPr>
              <w:pStyle w:val="TableContents"/>
              <w:bidi w:val="0"/>
              <w:spacing w:lineRule="auto" w:line="328" w:before="0" w:after="0"/>
              <w:ind w:left="0" w:right="0" w:hanging="0"/>
              <w:jc w:val="left"/>
              <w:rPr/>
            </w:pPr>
            <w:r>
              <w:rPr/>
              <w:t>​</w:t>
            </w:r>
          </w:p>
        </w:tc>
        <w:tc>
          <w:tcPr>
            <w:tcW w:w="3700" w:type="dxa"/>
            <w:tcBorders/>
            <w:vAlign w:val="center"/>
          </w:tcPr>
          <w:p>
            <w:pPr>
              <w:pStyle w:val="TableContents"/>
              <w:bidi w:val="0"/>
              <w:spacing w:lineRule="auto" w:line="328" w:before="0" w:after="0"/>
              <w:ind w:left="0" w:right="0" w:hanging="0"/>
              <w:jc w:val="left"/>
              <w:rPr/>
            </w:pPr>
            <w:r>
              <w:rPr/>
              <w:t>​</w:t>
            </w:r>
          </w:p>
        </w:tc>
      </w:tr>
      <w:tr>
        <w:trPr/>
        <w:tc>
          <w:tcPr>
            <w:tcW w:w="1606" w:type="dxa"/>
            <w:tcBorders/>
            <w:vAlign w:val="center"/>
          </w:tcPr>
          <w:p>
            <w:pPr>
              <w:pStyle w:val="TableContents"/>
              <w:bidi w:val="0"/>
              <w:spacing w:lineRule="auto" w:line="328" w:before="0" w:after="0"/>
              <w:ind w:left="0" w:right="0" w:hanging="0"/>
              <w:jc w:val="left"/>
              <w:rPr>
                <w:smallCaps/>
                <w:spacing w:val="-3"/>
              </w:rPr>
            </w:pPr>
            <w:r>
              <w:rPr>
                <w:smallCaps/>
                <w:spacing w:val="-3"/>
              </w:rPr>
              <w:t>​</w:t>
            </w:r>
          </w:p>
        </w:tc>
        <w:tc>
          <w:tcPr>
            <w:tcW w:w="3700" w:type="dxa"/>
            <w:tcBorders/>
            <w:vAlign w:val="center"/>
          </w:tcPr>
          <w:p>
            <w:pPr>
              <w:pStyle w:val="TableContents"/>
              <w:bidi w:val="0"/>
              <w:spacing w:lineRule="auto" w:line="328" w:before="0" w:after="0"/>
              <w:ind w:left="0" w:right="0" w:hanging="0"/>
              <w:jc w:val="left"/>
              <w:rPr>
                <w:rFonts w:ascii="Times New Roman Bold" w:hAnsi="Times New Roman Bold"/>
                <w:b/>
                <w:smallCaps/>
                <w:spacing w:val="-3"/>
                <w:sz w:val="20"/>
              </w:rPr>
            </w:pPr>
            <w:r>
              <w:rPr>
                <w:rFonts w:ascii="Times New Roman Bold" w:hAnsi="Times New Roman Bold"/>
                <w:b/>
                <w:smallCaps/>
                <w:spacing w:val="-3"/>
                <w:sz w:val="20"/>
              </w:rPr>
              <w:t>NL INDUSTRIES, INC.</w:t>
            </w:r>
          </w:p>
        </w:tc>
      </w:tr>
      <w:tr>
        <w:trPr/>
        <w:tc>
          <w:tcPr>
            <w:tcW w:w="1606"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(Registrant)</w:t>
            </w:r>
          </w:p>
        </w:tc>
      </w:tr>
      <w:tr>
        <w:trPr/>
        <w:tc>
          <w:tcPr>
            <w:tcW w:w="1606"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1606"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1606"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1606"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Date: May 6, 2026</w:t>
            </w:r>
          </w:p>
        </w:tc>
        <w:tc>
          <w:tcPr>
            <w:tcW w:w="3700"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By: /s/Amy A. Samford                                      </w:t>
            </w:r>
          </w:p>
        </w:tc>
      </w:tr>
      <w:tr>
        <w:trPr/>
        <w:tc>
          <w:tcPr>
            <w:tcW w:w="1606"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i/>
                <w:sz w:val="20"/>
              </w:rPr>
              <w:t xml:space="preserve">Executive Vice President and </w:t>
              <w:br/>
            </w:r>
            <w:r>
              <w:rPr>
                <w:rFonts w:ascii="Times New Roman;Times;serif" w:hAnsi="Times New Roman;Times;serif"/>
                <w:sz w:val="20"/>
              </w:rPr>
              <w:t xml:space="preserve">    </w:t>
            </w: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ind w:left="7920" w:right="0" w:hanging="0"/>
        <w:jc w:val="left"/>
        <w:rPr>
          <w:rFonts w:ascii="Times New Roman;Times;serif" w:hAnsi="Times New Roman;Times;serif"/>
          <w:sz w:val="20"/>
        </w:rPr>
      </w:pPr>
      <w:bookmarkStart w:id="40" w:name="nl-20260506xex99d1.htm"/>
      <w:bookmarkStart w:id="41" w:name="ksnl20260506xex99d1"/>
      <w:bookmarkEnd w:id="40"/>
      <w:bookmarkEnd w:id="41"/>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9">
                <wp:simplePos x="0" y="0"/>
                <wp:positionH relativeFrom="page">
                  <wp:posOffset>0</wp:posOffset>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r>
        <mc:AlternateContent>
          <mc:Choice Requires="wps">
            <w:drawing>
              <wp:anchor behindDoc="0" distT="0" distB="0" distL="0" distR="114300" simplePos="0" locked="0" layoutInCell="1" allowOverlap="1" relativeHeight="2">
                <wp:simplePos x="0" y="0"/>
                <wp:positionH relativeFrom="column">
                  <wp:align>left</wp:align>
                </wp:positionH>
                <wp:positionV relativeFrom="line">
                  <wp:posOffset>635</wp:posOffset>
                </wp:positionV>
                <wp:extent cx="1219200" cy="838200"/>
                <wp:effectExtent l="0" t="0" r="0" b="0"/>
                <wp:wrapSquare wrapText="right"/>
                <wp:docPr id="7" name="Frame7"/>
                <a:graphic xmlns:a="http://schemas.openxmlformats.org/drawingml/2006/main">
                  <a:graphicData uri="http://schemas.microsoft.com/office/word/2010/wordprocessingShape">
                    <wps:wsp>
                      <wps:cNvSpPr txBox="1"/>
                      <wps:spPr>
                        <a:xfrm>
                          <a:off x="0" y="0"/>
                          <a:ext cx="1219200" cy="838200"/>
                        </a:xfrm>
                        <a:prstGeom prst="rect"/>
                        <a:solidFill>
                          <a:srgbClr val="FFFFFF"/>
                        </a:solidFill>
                      </wps:spPr>
                      <wps:txbx>
                        <w:txbxContent>
                          <w:p>
                            <w:pPr>
                              <w:pStyle w:val="TextBody"/>
                              <w:bidi w:val="0"/>
                              <w:spacing w:before="0" w:after="0"/>
                              <w:jc w:val="left"/>
                              <w:rPr/>
                            </w:pPr>
                            <w:r>
                              <w:rPr/>
                              <w:drawing>
                                <wp:inline distT="0" distB="0" distL="0" distR="0">
                                  <wp:extent cx="1219200" cy="8382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219200" cy="8382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6pt;height:66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219200" cy="8382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3"/>
                                    <a:stretch>
                                      <a:fillRect/>
                                    </a:stretch>
                                  </pic:blipFill>
                                  <pic:spPr bwMode="auto">
                                    <a:xfrm>
                                      <a:off x="0" y="0"/>
                                      <a:ext cx="1219200" cy="838200"/>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NL REPORTS FIRST QUARTER 2026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DALLAS, TEXAS – May 6, 2026 – NL Industries, Inc. (NYSE: NL) today reported net income attributable to NL stockholders of $4.3 million, or $.09 per share, in the first quarter of 2026 compared to $.7 million, or $.01 per share, in the first quarter of 2025. NL’s results include an unrealized gain of $2.7 million in the first quarter of 2026 compared to an $8.5 million unrealized loss in the first quarter of 2025 related to the change in value of marketable equity securities.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CompX’s net sales were $40.6 million in the first quarter of 2026 compared to $40.3 million in the first quarter of 2025.  CompX’s first quarter 2026 net sales increased over the comparable 2025 period due to higher Marine Components sales to the industrial market partially offset by lower Security Products sales. CompX’s segment profit increased to $7.1 million in the first quarter of 2026 compared to $5.9 million in the first quarter of 2025 primarily due to higher gross margin at Security Products as a result of a more favorable customer and product mix and, to a lesser extent, the impact of higher sales at Marine Components.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NL recognized equity in losses of Kronos of $1.5 million in the first quarter of 2026 compared to equity in earnings of $5.5 million in the same period of 2025. Kronos’ net sales of $509.8 million in the first quarter of 2026 were $20.0 million, or 4%, </w:t>
      </w:r>
      <w:r>
        <w:rPr>
          <w:rFonts w:ascii="Times New Roman;Times;serif" w:hAnsi="Times New Roman;Times;serif"/>
          <w:sz w:val="20"/>
          <w:shd w:fill="FFFFFF" w:val="clear"/>
        </w:rPr>
        <w:t>higher</w:t>
      </w:r>
      <w:r>
        <w:rPr>
          <w:rFonts w:ascii="Times New Roman;Times;serif" w:hAnsi="Times New Roman;Times;serif"/>
          <w:sz w:val="20"/>
        </w:rPr>
        <w:t xml:space="preserve"> than in the first quarter of 2025. Kronos’ net sales increased in the first quarter of 2026 compared to the first quarter of 2025 primarily due to the effects of higher sales volumes in its North American, Latin American and export markets and the favorable impact of changes in currency exchange rates (primarily the euro), which it estimates increased its net sales by approximately $30 million. These increases were partially offset by lower sales volumes in its European market and lower average TiO</w:t>
      </w:r>
      <w:r>
        <w:rPr>
          <w:rFonts w:ascii="Times New Roman;Times;serif" w:hAnsi="Times New Roman;Times;serif"/>
          <w:sz w:val="15"/>
        </w:rPr>
        <w:t>2</w:t>
      </w:r>
      <w:r>
        <w:rPr>
          <w:rFonts w:ascii="Times New Roman;Times;serif" w:hAnsi="Times New Roman;Times;serif"/>
          <w:sz w:val="20"/>
        </w:rPr>
        <w:t xml:space="preserve"> selling prices. </w:t>
      </w:r>
      <w:r>
        <w:rPr>
          <w:rFonts w:ascii="Times New Roman;Times;serif" w:hAnsi="Times New Roman;Times;serif"/>
          <w:sz w:val="20"/>
          <w:shd w:fill="FFFFFF" w:val="clear"/>
        </w:rPr>
        <w:t>Kronos started 2026</w:t>
      </w:r>
      <w:r>
        <w:rPr>
          <w:rFonts w:ascii="Times New Roman;Times;serif" w:hAnsi="Times New Roman;Times;serif"/>
          <w:sz w:val="20"/>
        </w:rPr>
        <w:t xml:space="preserve">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its average TiO</w:t>
      </w:r>
      <w:r>
        <w:rPr>
          <w:rFonts w:ascii="Times New Roman;Times;serif" w:hAnsi="Times New Roman;Times;serif"/>
          <w:sz w:val="15"/>
        </w:rPr>
        <w:t xml:space="preserve">2 </w:t>
      </w:r>
      <w:r>
        <w:rPr>
          <w:rFonts w:ascii="Times New Roman;Times;serif" w:hAnsi="Times New Roman;Times;serif"/>
          <w:sz w:val="20"/>
        </w:rPr>
        <w:t>selling prices increased 2% during the first quarter of 2026 as Kronos works to recover pricing lost during 2025. The table at the end of this press release shows how each of these items impacted Kronos’ net sales.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Kronos’ income from operations in the first quarter of 2026 was $12.6 million as compared to $38.4 million in the first quarter of 2025. Kronos’ income from operations </w:t>
      </w:r>
      <w:r>
        <w:rPr>
          <w:rFonts w:ascii="Times New Roman;Times;serif" w:hAnsi="Times New Roman;Times;serif"/>
          <w:sz w:val="20"/>
          <w:shd w:fill="FFFFFF" w:val="clear"/>
        </w:rPr>
        <w:t>decreased</w:t>
      </w:r>
      <w:r>
        <w:rPr>
          <w:rFonts w:ascii="Times New Roman;Times;serif" w:hAnsi="Times New Roman;Times;serif"/>
          <w:sz w:val="20"/>
        </w:rPr>
        <w:t xml:space="preserve"> in the first quarter of 2026 compared to the first quarter of 2025 primarily due to the effects of lower average TiO</w:t>
      </w:r>
      <w:r>
        <w:rPr>
          <w:rFonts w:ascii="Times New Roman;Times;serif" w:hAnsi="Times New Roman;Times;serif"/>
          <w:sz w:val="15"/>
        </w:rPr>
        <w:t>2</w:t>
      </w:r>
      <w:r>
        <w:rPr>
          <w:rFonts w:ascii="Times New Roman;Times;serif" w:hAnsi="Times New Roman;Times;serif"/>
          <w:sz w:val="20"/>
        </w:rPr>
        <w:t xml:space="preserve"> selling prices, </w:t>
      </w:r>
      <w:r>
        <w:rPr>
          <w:rFonts w:ascii="Times New Roman;Times;serif" w:hAnsi="Times New Roman;Times;serif"/>
          <w:sz w:val="20"/>
          <w:shd w:fill="FFFFFF" w:val="clear"/>
        </w:rPr>
        <w:t xml:space="preserve">lower production </w:t>
      </w:r>
      <w:r>
        <w:rPr>
          <w:rFonts w:ascii="Times New Roman;Times;serif" w:hAnsi="Times New Roman;Times;serif"/>
          <w:sz w:val="20"/>
        </w:rPr>
        <w:t xml:space="preserve">volumes, and the unfavorable impact of changes in currency exchange rates, partially offset by higher sales volumes and </w:t>
      </w:r>
      <w:r>
        <w:rPr>
          <w:rFonts w:ascii="Times New Roman;Times;serif" w:hAnsi="Times New Roman;Times;serif"/>
          <w:sz w:val="20"/>
          <w:shd w:fill="FFFFFF" w:val="clear"/>
        </w:rPr>
        <w:t>lower production costs</w:t>
      </w:r>
      <w:r>
        <w:rPr>
          <w:rFonts w:ascii="Times New Roman;Times;serif" w:hAnsi="Times New Roman;Times;serif"/>
          <w:sz w:val="20"/>
        </w:rPr>
        <w:t xml:space="preserve">. Lower production costs benefited in part from cost reduction initiatives implemented in the fourth quarter of 2025, including workforce reductions and other measures, which were designed to permanently improve Kronos’ cost structure and enable more efficient operation of its facilities at lower production rates for extended periods. Fluctuations in currency exchange rates (primarily the euro) decreased Kronos’ income from operations by approximately $6 million in the first quarter of 2026 compared to the first quarter of 2025.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Corporate expenses increased slightly in the first quarter of 2026 compared to the first quarter of 2025 primarily due to higher general and administrative expenses. Interest and dividend income decreased $.7 million in the first quarter of 2026 compared to the same period of 2025 primarily due to decreased average investment balances and lower average interest rates. Marketable equity securities represent the change in unrealized gains (losses) on our portfolio of marketable equity securities during the period.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statements in this release relating to matters that are not historical facts are forward-looking statements that represent management's beliefs and assumptions based on currently available information. Although we believe the expectations reflected in such forward-looking statements are reasonable, we cannot give any assurances that these expectations will prove to be correct. Such statements by their nature involve substantial risks and uncertainties that could significantly impact expected results, and actual future results could differ materially from those described in such forward-looking </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statements. While it is not possible to identify all factors, we continue to face many risks and uncertainties. Factors that could cause actual future results to differ materially include, but are not limited to:</w:t>
      </w:r>
    </w:p>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realize expected cost savings from strategic and operational initiatives;</w:t>
            </w:r>
          </w:p>
        </w:tc>
      </w:tr>
    </w:tbl>
    <w:tbl>
      <w:tblPr>
        <w:tblW w:w="8913" w:type="dxa"/>
        <w:jc w:val="left"/>
        <w:tblInd w:w="0" w:type="dxa"/>
        <w:tblLayout w:type="fixed"/>
        <w:tblCellMar>
          <w:top w:w="0" w:type="dxa"/>
          <w:left w:w="0" w:type="dxa"/>
          <w:bottom w:w="0" w:type="dxa"/>
          <w:right w:w="0" w:type="dxa"/>
        </w:tblCellMar>
      </w:tblPr>
      <w:tblGrid>
        <w:gridCol w:w="23"/>
        <w:gridCol w:w="170"/>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integrate acquisitions into its operations and realize expected synergies and innovations;</w:t>
            </w:r>
          </w:p>
        </w:tc>
      </w:tr>
    </w:tbl>
    <w:tbl>
      <w:tblPr>
        <w:tblW w:w="6963" w:type="dxa"/>
        <w:jc w:val="left"/>
        <w:tblInd w:w="0" w:type="dxa"/>
        <w:tblLayout w:type="fixed"/>
        <w:tblCellMar>
          <w:top w:w="0" w:type="dxa"/>
          <w:left w:w="0" w:type="dxa"/>
          <w:bottom w:w="0" w:type="dxa"/>
          <w:right w:w="0" w:type="dxa"/>
        </w:tblCellMar>
      </w:tblPr>
      <w:tblGrid>
        <w:gridCol w:w="23"/>
        <w:gridCol w:w="170"/>
        <w:gridCol w:w="6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cyclicality of our businesses (such as Kronos’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operations);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7773" w:type="dxa"/>
        <w:jc w:val="left"/>
        <w:tblInd w:w="0" w:type="dxa"/>
        <w:tblLayout w:type="fixed"/>
        <w:tblCellMar>
          <w:top w:w="0" w:type="dxa"/>
          <w:left w:w="0" w:type="dxa"/>
          <w:bottom w:w="0" w:type="dxa"/>
          <w:right w:w="0" w:type="dxa"/>
        </w:tblCellMar>
      </w:tblPr>
      <w:tblGrid>
        <w:gridCol w:w="23"/>
        <w:gridCol w:w="170"/>
        <w:gridCol w:w="7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Unexpected or earlier-than-expected industry capacity expansion (such as the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industry);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raw material and other operating costs (such as energy, ore, zinc, aluminum, steel and brass costs) or the implementation of tariffs on imported raw materials and our ability to pass those costs on to our customers or offset them with reductions in other operating costs;</w:t>
            </w:r>
          </w:p>
        </w:tc>
      </w:tr>
    </w:tbl>
    <w:tbl>
      <w:tblPr>
        <w:tblW w:w="4848" w:type="dxa"/>
        <w:jc w:val="left"/>
        <w:tblInd w:w="0" w:type="dxa"/>
        <w:tblLayout w:type="fixed"/>
        <w:tblCellMar>
          <w:top w:w="0" w:type="dxa"/>
          <w:left w:w="0" w:type="dxa"/>
          <w:bottom w:w="0" w:type="dxa"/>
          <w:right w:w="0" w:type="dxa"/>
        </w:tblCellMar>
      </w:tblPr>
      <w:tblGrid>
        <w:gridCol w:w="23"/>
        <w:gridCol w:w="17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or reduce demand or perceived demand for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and our products or impair our ability to operate our facilities (including changes in the level of gross domestic product in various regions of the world, tariffs,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w:t>
            </w:r>
          </w:p>
        </w:tc>
      </w:tr>
    </w:tbl>
    <w:tbl>
      <w:tblPr>
        <w:tblW w:w="3978" w:type="dxa"/>
        <w:jc w:val="left"/>
        <w:tblInd w:w="0" w:type="dxa"/>
        <w:tblLayout w:type="fixed"/>
        <w:tblCellMar>
          <w:top w:w="0" w:type="dxa"/>
          <w:left w:w="0" w:type="dxa"/>
          <w:bottom w:w="0" w:type="dxa"/>
          <w:right w:w="0" w:type="dxa"/>
        </w:tblCellMar>
      </w:tblPr>
      <w:tblGrid>
        <w:gridCol w:w="23"/>
        <w:gridCol w:w="170"/>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273" w:type="dxa"/>
        <w:jc w:val="left"/>
        <w:tblInd w:w="0" w:type="dxa"/>
        <w:tblLayout w:type="fixed"/>
        <w:tblCellMar>
          <w:top w:w="0" w:type="dxa"/>
          <w:left w:w="0" w:type="dxa"/>
          <w:bottom w:w="0" w:type="dxa"/>
          <w:right w:w="0" w:type="dxa"/>
        </w:tblCellMar>
      </w:tblPr>
      <w:tblGrid>
        <w:gridCol w:w="23"/>
        <w:gridCol w:w="170"/>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Kronos’ competitors;</w:t>
            </w:r>
          </w:p>
        </w:tc>
      </w:tr>
    </w:tbl>
    <w:tbl>
      <w:tblPr>
        <w:tblW w:w="3933" w:type="dxa"/>
        <w:jc w:val="left"/>
        <w:tblInd w:w="0" w:type="dxa"/>
        <w:tblLayout w:type="fixed"/>
        <w:tblCellMar>
          <w:top w:w="0" w:type="dxa"/>
          <w:left w:w="0" w:type="dxa"/>
          <w:bottom w:w="0" w:type="dxa"/>
          <w:right w:w="0" w:type="dxa"/>
        </w:tblCellMar>
      </w:tblPr>
      <w:tblGrid>
        <w:gridCol w:w="23"/>
        <w:gridCol w:w="17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Kronos’ customers;</w:t>
            </w:r>
          </w:p>
        </w:tc>
      </w:tr>
    </w:tbl>
    <w:tbl>
      <w:tblPr>
        <w:tblW w:w="4128" w:type="dxa"/>
        <w:jc w:val="left"/>
        <w:tblInd w:w="0" w:type="dxa"/>
        <w:tblLayout w:type="fixed"/>
        <w:tblCellMar>
          <w:top w:w="0" w:type="dxa"/>
          <w:left w:w="0" w:type="dxa"/>
          <w:bottom w:w="0" w:type="dxa"/>
          <w:right w:w="0" w:type="dxa"/>
        </w:tblCellMar>
      </w:tblPr>
      <w:tblGrid>
        <w:gridCol w:w="23"/>
        <w:gridCol w:w="17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tbl>
      <w:tblPr>
        <w:tblW w:w="5013" w:type="dxa"/>
        <w:jc w:val="left"/>
        <w:tblInd w:w="0" w:type="dxa"/>
        <w:tblLayout w:type="fixed"/>
        <w:tblCellMar>
          <w:top w:w="0" w:type="dxa"/>
          <w:left w:w="0" w:type="dxa"/>
          <w:bottom w:w="0" w:type="dxa"/>
          <w:right w:w="0" w:type="dxa"/>
        </w:tblCellMar>
      </w:tblPr>
      <w:tblGrid>
        <w:gridCol w:w="23"/>
        <w:gridCol w:w="170"/>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intellectual property rights;</w:t>
            </w:r>
          </w:p>
        </w:tc>
      </w:tr>
    </w:tbl>
    <w:tbl>
      <w:tblPr>
        <w:tblW w:w="4653" w:type="dxa"/>
        <w:jc w:val="left"/>
        <w:tblInd w:w="0" w:type="dxa"/>
        <w:tblLayout w:type="fixed"/>
        <w:tblCellMar>
          <w:top w:w="0" w:type="dxa"/>
          <w:left w:w="0" w:type="dxa"/>
          <w:bottom w:w="0" w:type="dxa"/>
          <w:right w:w="0" w:type="dxa"/>
        </w:tblCellMar>
      </w:tblPr>
      <w:tblGrid>
        <w:gridCol w:w="23"/>
        <w:gridCol w:w="17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7188" w:type="dxa"/>
        <w:jc w:val="left"/>
        <w:tblInd w:w="0" w:type="dxa"/>
        <w:tblLayout w:type="fixed"/>
        <w:tblCellMar>
          <w:top w:w="0" w:type="dxa"/>
          <w:left w:w="0" w:type="dxa"/>
          <w:bottom w:w="0" w:type="dxa"/>
          <w:right w:w="0" w:type="dxa"/>
        </w:tblCellMar>
      </w:tblPr>
      <w:tblGrid>
        <w:gridCol w:w="23"/>
        <w:gridCol w:w="17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p>
      <w:pPr>
        <w:pStyle w:val="TextBody"/>
        <w:bidi w:val="0"/>
        <w:spacing w:before="0" w:after="0"/>
        <w:ind w:left="720" w:right="0" w:hanging="0"/>
        <w:jc w:val="center"/>
        <w:rPr/>
      </w:pPr>
      <w:r>
        <w:rPr/>
        <w:t>​</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573" w:type="dxa"/>
        <w:jc w:val="left"/>
        <w:tblInd w:w="0" w:type="dxa"/>
        <w:tblLayout w:type="fixed"/>
        <w:tblCellMar>
          <w:top w:w="0" w:type="dxa"/>
          <w:left w:w="0" w:type="dxa"/>
          <w:bottom w:w="0" w:type="dxa"/>
          <w:right w:w="0" w:type="dxa"/>
        </w:tblCellMar>
      </w:tblPr>
      <w:tblGrid>
        <w:gridCol w:w="23"/>
        <w:gridCol w:w="170"/>
        <w:gridCol w:w="63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7608" w:type="dxa"/>
        <w:jc w:val="left"/>
        <w:tblInd w:w="0" w:type="dxa"/>
        <w:tblLayout w:type="fixed"/>
        <w:tblCellMar>
          <w:top w:w="0" w:type="dxa"/>
          <w:left w:w="0" w:type="dxa"/>
          <w:bottom w:w="0" w:type="dxa"/>
          <w:right w:w="0" w:type="dxa"/>
        </w:tblCellMar>
      </w:tblPr>
      <w:tblGrid>
        <w:gridCol w:w="23"/>
        <w:gridCol w:w="170"/>
        <w:gridCol w:w="7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renew or refinance credit facilities or other debt instruments in the future;</w:t>
            </w:r>
          </w:p>
        </w:tc>
      </w:tr>
    </w:tbl>
    <w:tbl>
      <w:tblPr>
        <w:tblW w:w="2253" w:type="dxa"/>
        <w:jc w:val="left"/>
        <w:tblInd w:w="0" w:type="dxa"/>
        <w:tblLayout w:type="fixed"/>
        <w:tblCellMar>
          <w:top w:w="0" w:type="dxa"/>
          <w:left w:w="0" w:type="dxa"/>
          <w:bottom w:w="0" w:type="dxa"/>
          <w:right w:w="0" w:type="dxa"/>
        </w:tblCellMar>
      </w:tblPr>
      <w:tblGrid>
        <w:gridCol w:w="23"/>
        <w:gridCol w:w="17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7383" w:type="dxa"/>
        <w:jc w:val="left"/>
        <w:tblInd w:w="0" w:type="dxa"/>
        <w:tblLayout w:type="fixed"/>
        <w:tblCellMar>
          <w:top w:w="0" w:type="dxa"/>
          <w:left w:w="0" w:type="dxa"/>
          <w:bottom w:w="0" w:type="dxa"/>
          <w:right w:w="0" w:type="dxa"/>
        </w:tblCellMar>
      </w:tblPr>
      <w:tblGrid>
        <w:gridCol w:w="23"/>
        <w:gridCol w:w="170"/>
        <w:gridCol w:w="7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comply with covenants contained in its revolving bank credit facility;</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tbl>
      <w:tblPr>
        <w:tblW w:w="4158" w:type="dxa"/>
        <w:jc w:val="left"/>
        <w:tblInd w:w="0" w:type="dxa"/>
        <w:tblLayout w:type="fixed"/>
        <w:tblCellMar>
          <w:top w:w="0" w:type="dxa"/>
          <w:left w:w="0" w:type="dxa"/>
          <w:bottom w:w="0" w:type="dxa"/>
          <w:right w:w="0" w:type="dxa"/>
        </w:tblCellMar>
      </w:tblPr>
      <w:tblGrid>
        <w:gridCol w:w="23"/>
        <w:gridCol w:w="170"/>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amounts of insurance recoveries;</w:t>
            </w:r>
          </w:p>
        </w:tc>
      </w:tr>
    </w:tbl>
    <w:tbl>
      <w:tblPr>
        <w:tblW w:w="5298" w:type="dxa"/>
        <w:jc w:val="left"/>
        <w:tblInd w:w="0" w:type="dxa"/>
        <w:tblLayout w:type="fixed"/>
        <w:tblCellMar>
          <w:top w:w="0" w:type="dxa"/>
          <w:left w:w="0" w:type="dxa"/>
          <w:bottom w:w="0" w:type="dxa"/>
          <w:right w:w="0" w:type="dxa"/>
        </w:tblCellMar>
      </w:tblPr>
      <w:tblGrid>
        <w:gridCol w:w="23"/>
        <w:gridCol w:w="170"/>
        <w:gridCol w:w="5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subsidiaries or affiliates to pay us dividends;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CompX’s development of new products and product features;</w:t>
            </w:r>
          </w:p>
        </w:tc>
      </w:tr>
    </w:tbl>
    <w:tbl>
      <w:tblPr>
        <w:tblW w:w="9738" w:type="dxa"/>
        <w:jc w:val="left"/>
        <w:tblInd w:w="0" w:type="dxa"/>
        <w:tblLayout w:type="fixed"/>
        <w:tblCellMar>
          <w:top w:w="0" w:type="dxa"/>
          <w:left w:w="0" w:type="dxa"/>
          <w:bottom w:w="0" w:type="dxa"/>
          <w:right w:w="0" w:type="dxa"/>
        </w:tblCellMar>
      </w:tblPr>
      <w:tblGrid>
        <w:gridCol w:w="23"/>
        <w:gridCol w:w="170"/>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or changes in income tax rates related to such attributes, the benefits of which may or may not have been recognized under the more-likely-than-not recognition criteria;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 or new developments regarding environmental remediation or decommissioning obligations at sites related to our former operations);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Government laws and regulations and possible changes therein (such as changes in government regulations which might impose various obligations on former manufacturers of lead pigment and lead-based paint, including us, with respect to asserted health concerns associated with the use of such products), 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or its use);</w:t>
            </w:r>
          </w:p>
        </w:tc>
      </w:tr>
    </w:tbl>
    <w:tbl>
      <w:tblPr>
        <w:tblW w:w="8643" w:type="dxa"/>
        <w:jc w:val="left"/>
        <w:tblInd w:w="0" w:type="dxa"/>
        <w:tblLayout w:type="fixed"/>
        <w:tblCellMar>
          <w:top w:w="0" w:type="dxa"/>
          <w:left w:w="0" w:type="dxa"/>
          <w:bottom w:w="0" w:type="dxa"/>
          <w:right w:w="0" w:type="dxa"/>
        </w:tblCellMar>
      </w:tblPr>
      <w:tblGrid>
        <w:gridCol w:w="23"/>
        <w:gridCol w:w="170"/>
        <w:gridCol w:w="8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resolution of pending litigation (such as our lead pigment and environmental matters);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CompX’s use of certain permitted chemicals in its productions process) or other actions.</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Should one or more of these risks materialize (or if the consequences of such a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NL Industries, Inc. is engaged in component products (security products and recreational marine components) and chemicals (TiO</w:t>
      </w:r>
      <w:r>
        <w:rPr>
          <w:rFonts w:ascii="Times New Roman;Times;serif" w:hAnsi="Times New Roman;Times;serif"/>
          <w:sz w:val="15"/>
        </w:rPr>
        <w:t>2</w:t>
      </w:r>
      <w:r>
        <w:rPr>
          <w:rFonts w:ascii="Times New Roman;Times;serif" w:hAnsi="Times New Roman;Times;serif"/>
          <w:sz w:val="20"/>
        </w:rPr>
        <w:t>) businesses.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Bryan A. Hanley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Senior Vice President and Treasurer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(972) 233-1700</w:t>
      </w:r>
    </w:p>
    <w:p>
      <w:pPr>
        <w:pStyle w:val="TextBody"/>
        <w:bidi w:val="0"/>
        <w:spacing w:before="0" w:after="0"/>
        <w:ind w:left="0" w:right="0" w:hanging="0"/>
        <w:jc w:val="left"/>
        <w:rPr/>
      </w:pPr>
      <w:r>
        <w:rPr/>
        <w:t>​</w:t>
      </w:r>
    </w:p>
    <w:p>
      <w:pPr>
        <w:pStyle w:val="TextBody"/>
        <w:bidi w:val="0"/>
        <w:spacing w:before="0" w:after="0"/>
        <w:ind w:left="720" w:right="0" w:hanging="0"/>
        <w:jc w:val="center"/>
        <w:rPr/>
      </w:pPr>
      <w:r>
        <w:rPr/>
        <w:t>​</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pPr>
      <w:r>
        <w:rPr/>
        <w:t>​</w:t>
      </w:r>
      <w:r>
        <w:rPr>
          <w:rFonts w:ascii="Times New Roman;Times;serif" w:hAnsi="Times New Roman;Times;serif"/>
          <w:b/>
          <w:sz w:val="20"/>
        </w:rPr>
        <w:br/>
        <w:t>NL INDUSTRIES,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INCOME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millions, except earnings per share)</w:t>
      </w:r>
    </w:p>
    <w:tbl>
      <w:tblPr>
        <w:tblW w:w="6989" w:type="dxa"/>
        <w:jc w:val="left"/>
        <w:tblInd w:w="0" w:type="dxa"/>
        <w:tblLayout w:type="fixed"/>
        <w:tblCellMar>
          <w:top w:w="0" w:type="dxa"/>
          <w:left w:w="0" w:type="dxa"/>
          <w:bottom w:w="0" w:type="dxa"/>
          <w:right w:w="0" w:type="dxa"/>
        </w:tblCellMar>
      </w:tblPr>
      <w:tblGrid>
        <w:gridCol w:w="4786"/>
        <w:gridCol w:w="346"/>
        <w:gridCol w:w="215"/>
        <w:gridCol w:w="491"/>
        <w:gridCol w:w="353"/>
        <w:gridCol w:w="215"/>
        <w:gridCol w:w="583"/>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039110" cy="175260"/>
                      <wp:effectExtent l="0" t="0" r="0" b="0"/>
                      <wp:wrapNone/>
                      <wp:docPr id="10" name="Frame8"/>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1"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6525" cy="175260"/>
                      <wp:effectExtent l="0" t="0" r="0" b="0"/>
                      <wp:wrapNone/>
                      <wp:docPr id="12" name="Frame1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11785" cy="175260"/>
                      <wp:effectExtent l="0" t="0" r="0" b="0"/>
                      <wp:wrapNone/>
                      <wp:docPr id="13" name="Frame11"/>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4155" cy="175260"/>
                      <wp:effectExtent l="0" t="0" r="0" b="0"/>
                      <wp:wrapNone/>
                      <wp:docPr id="14" name="Frame12"/>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6525" cy="175260"/>
                      <wp:effectExtent l="0" t="0" r="0" b="0"/>
                      <wp:wrapNone/>
                      <wp:docPr id="15" name="Frame1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70205" cy="175260"/>
                      <wp:effectExtent l="0" t="0" r="0" b="0"/>
                      <wp:wrapNone/>
                      <wp:docPr id="16" name="Frame14"/>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57"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53" w:type="dxa"/>
            <w:tcBorders/>
            <w:vAlign w:val="center"/>
          </w:tcPr>
          <w:p>
            <w:pPr>
              <w:pStyle w:val="TableContents"/>
              <w:bidi w:val="0"/>
              <w:spacing w:before="0" w:after="0"/>
              <w:ind w:left="0" w:right="0" w:hanging="0"/>
              <w:jc w:val="left"/>
              <w:rPr/>
            </w:pPr>
            <w:r>
              <w:rPr/>
              <w:t>  ​ ​ ​</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98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7"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53"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(losses) of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91" w:type="dxa"/>
            <w:tcBorders/>
            <w:shd w:fill="CCEEFF" w:val="clear"/>
            <w:vAlign w:val="center"/>
          </w:tcPr>
          <w:p>
            <w:pPr>
              <w:pStyle w:val="TableContents"/>
              <w:bidi w:val="0"/>
              <w:spacing w:before="0" w:after="0"/>
              <w:ind w:left="0" w:right="0" w:hanging="0"/>
              <w:jc w:val="right"/>
              <w:rPr/>
            </w:pPr>
            <w:r>
              <w:rPr/>
              <w:t>  ​</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pPr>
            <w:r>
              <w:rPr/>
              <w:t>  ​</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income of subsidiary</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NL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NL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shares used in the calculation of </w:t>
              <w:br/>
              <w:t>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48.9</w:t>
            </w:r>
          </w:p>
        </w:tc>
      </w:tr>
    </w:tbl>
    <w:p>
      <w:pPr>
        <w:pStyle w:val="TextBody"/>
        <w:bidi w:val="0"/>
        <w:spacing w:before="0" w:after="120"/>
        <w:ind w:left="0" w:right="0" w:hanging="0"/>
        <w:jc w:val="center"/>
        <w:rPr/>
      </w:pPr>
      <w:r>
        <w:rPr/>
        <w:t>​</w:t>
      </w:r>
    </w:p>
    <w:p>
      <w:pPr>
        <w:pStyle w:val="TextBody"/>
        <w:bidi w:val="0"/>
        <w:spacing w:before="0" w:after="120"/>
        <w:ind w:left="0" w:right="0" w:hanging="0"/>
        <w:jc w:val="center"/>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720" w:right="0" w:hanging="0"/>
        <w:jc w:val="center"/>
        <w:rPr/>
      </w:pPr>
      <w:r>
        <w:rPr/>
        <w:t>​</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NL INDUSTRIES,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COMPONENTS OF INCOME FROM OPERATIONS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120"/>
        <w:ind w:left="0" w:right="0" w:hanging="0"/>
        <w:jc w:val="center"/>
        <w:rPr/>
      </w:pPr>
      <w:r>
        <w:rPr/>
        <w:t>​</w:t>
      </w:r>
    </w:p>
    <w:tbl>
      <w:tblPr>
        <w:tblW w:w="4246" w:type="dxa"/>
        <w:jc w:val="left"/>
        <w:tblInd w:w="0" w:type="dxa"/>
        <w:tblLayout w:type="fixed"/>
        <w:tblCellMar>
          <w:top w:w="0" w:type="dxa"/>
          <w:left w:w="0" w:type="dxa"/>
          <w:bottom w:w="0" w:type="dxa"/>
          <w:right w:w="0" w:type="dxa"/>
        </w:tblCellMar>
      </w:tblPr>
      <w:tblGrid>
        <w:gridCol w:w="2041"/>
        <w:gridCol w:w="346"/>
        <w:gridCol w:w="221"/>
        <w:gridCol w:w="504"/>
        <w:gridCol w:w="362"/>
        <w:gridCol w:w="221"/>
        <w:gridCol w:w="55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96035" cy="175260"/>
                      <wp:effectExtent l="0" t="0" r="0" b="0"/>
                      <wp:wrapNone/>
                      <wp:docPr id="17" name="Frame15"/>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8"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0335" cy="175260"/>
                      <wp:effectExtent l="0" t="0" r="0" b="0"/>
                      <wp:wrapNone/>
                      <wp:docPr id="19" name="Frame1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20040" cy="175260"/>
                      <wp:effectExtent l="0" t="0" r="0" b="0"/>
                      <wp:wrapNone/>
                      <wp:docPr id="20" name="Frame18"/>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9870" cy="175260"/>
                      <wp:effectExtent l="0" t="0" r="0" b="0"/>
                      <wp:wrapNone/>
                      <wp:docPr id="21" name="Frame1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0335" cy="175260"/>
                      <wp:effectExtent l="0" t="0" r="0" b="0"/>
                      <wp:wrapNone/>
                      <wp:docPr id="22" name="Frame2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49885" cy="175260"/>
                      <wp:effectExtent l="0" t="0" r="0" b="0"/>
                      <wp:wrapNone/>
                      <wp:docPr id="23" name="Frame21"/>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9"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2" w:type="dxa"/>
            <w:tcBorders/>
            <w:vAlign w:val="center"/>
          </w:tcPr>
          <w:p>
            <w:pPr>
              <w:pStyle w:val="TableContents"/>
              <w:bidi w:val="0"/>
              <w:spacing w:before="0" w:after="0"/>
              <w:ind w:left="0" w:right="0" w:hanging="0"/>
              <w:jc w:val="left"/>
              <w:rPr/>
            </w:pPr>
            <w:r>
              <w:rPr/>
              <w:t>  ​ ​ ​</w:t>
            </w:r>
          </w:p>
        </w:tc>
        <w:tc>
          <w:tcPr>
            <w:tcW w:w="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24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59"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2"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20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2"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4.1</w:t>
            </w:r>
          </w:p>
        </w:tc>
      </w:tr>
    </w:tbl>
    <w:p>
      <w:pPr>
        <w:pStyle w:val="TextBody"/>
        <w:bidi w:val="0"/>
        <w:spacing w:before="0" w:after="12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IMPACT OF PERCENTAGE CHANGE IN KRONOS’ NET SALES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5253" w:type="dxa"/>
        <w:jc w:val="left"/>
        <w:tblInd w:w="0" w:type="dxa"/>
        <w:tblLayout w:type="fixed"/>
        <w:tblCellMar>
          <w:top w:w="0" w:type="dxa"/>
          <w:left w:w="0" w:type="dxa"/>
          <w:bottom w:w="0" w:type="dxa"/>
          <w:right w:w="0" w:type="dxa"/>
        </w:tblCellMar>
      </w:tblPr>
      <w:tblGrid>
        <w:gridCol w:w="3031"/>
        <w:gridCol w:w="1816"/>
        <w:gridCol w:w="40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924685" cy="175260"/>
                      <wp:effectExtent l="0" t="0" r="0" b="0"/>
                      <wp:wrapNone/>
                      <wp:docPr id="24" name="Frame22"/>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153160" cy="175260"/>
                      <wp:effectExtent l="0" t="0" r="0" b="0"/>
                      <wp:wrapNone/>
                      <wp:docPr id="25" name="Frame23"/>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57810" cy="175260"/>
                      <wp:effectExtent l="0" t="0" r="0" b="0"/>
                      <wp:wrapNone/>
                      <wp:docPr id="26" name="Frame2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406" w:type="dxa"/>
            <w:tcBorders/>
            <w:vAlign w:val="center"/>
          </w:tcPr>
          <w:p>
            <w:pPr>
              <w:pStyle w:val="TableContents"/>
              <w:bidi w:val="0"/>
              <w:spacing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c>
          <w:tcPr>
            <w:tcW w:w="406" w:type="dxa"/>
            <w:tcBorders/>
            <w:vAlign w:val="center"/>
          </w:tcPr>
          <w:p>
            <w:pPr>
              <w:pStyle w:val="TableContents"/>
              <w:bidi w:val="0"/>
              <w:spacing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c>
          <w:tcPr>
            <w:tcW w:w="406" w:type="dxa"/>
            <w:tcBorders/>
            <w:vAlign w:val="center"/>
          </w:tcPr>
          <w:p>
            <w:pPr>
              <w:pStyle w:val="TableContents"/>
              <w:bidi w:val="0"/>
              <w:spacing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change in net sales:</w:t>
            </w:r>
          </w:p>
        </w:tc>
        <w:tc>
          <w:tcPr>
            <w:tcW w:w="181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sales volume</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pricing</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181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1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720" w:right="0" w:hanging="0"/>
        <w:jc w:val="center"/>
        <w:rPr/>
      </w:pPr>
      <w:r>
        <w:rPr/>
        <w:t>​</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- 5 -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2298</Words>
  <Characters>12592</Characters>
  <CharactersWithSpaces>15143</CharactersWithSpaces>
  <Paragraphs>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